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h. Nalçacı Cd.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Mh. Nalçacı Cd.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CD7E02" w:rsidRPr="00EA7D3C">
        <w:rPr>
          <w:rFonts w:asciiTheme="majorHAnsi" w:hAnsiTheme="majorHAnsi" w:cs="Tahoma"/>
          <w:sz w:val="22"/>
          <w:szCs w:val="22"/>
        </w:rPr>
        <w:t>25</w:t>
      </w:r>
      <w:r w:rsidR="00096EE5" w:rsidRPr="00EA7D3C">
        <w:rPr>
          <w:rFonts w:asciiTheme="majorHAnsi" w:hAnsiTheme="majorHAnsi" w:cs="Tahoma"/>
          <w:sz w:val="22"/>
          <w:szCs w:val="22"/>
        </w:rPr>
        <w:t>.10</w:t>
      </w:r>
      <w:r w:rsidR="0069496A" w:rsidRPr="00EA7D3C">
        <w:rPr>
          <w:rFonts w:asciiTheme="majorHAnsi" w:hAnsiTheme="majorHAnsi" w:cs="Tahoma"/>
          <w:sz w:val="22"/>
          <w:szCs w:val="22"/>
        </w:rPr>
        <w:t>.20</w:t>
      </w:r>
      <w:r w:rsidR="00096EE5" w:rsidRPr="00EA7D3C">
        <w:rPr>
          <w:rFonts w:asciiTheme="majorHAnsi" w:hAnsiTheme="majorHAnsi" w:cs="Tahoma"/>
          <w:sz w:val="22"/>
          <w:szCs w:val="22"/>
        </w:rPr>
        <w:t>25</w:t>
      </w:r>
      <w:r w:rsidR="002A74F4" w:rsidRPr="00EA7D3C">
        <w:rPr>
          <w:rFonts w:asciiTheme="majorHAnsi" w:hAnsiTheme="majorHAnsi" w:cs="Tahoma"/>
          <w:sz w:val="22"/>
          <w:szCs w:val="22"/>
        </w:rPr>
        <w:t xml:space="preserve"> </w:t>
      </w:r>
      <w:r w:rsidR="00901163" w:rsidRPr="001D10A5">
        <w:rPr>
          <w:rFonts w:asciiTheme="majorHAnsi" w:hAnsiTheme="majorHAnsi" w:cs="Tahoma"/>
          <w:sz w:val="22"/>
          <w:szCs w:val="22"/>
        </w:rPr>
        <w:t>tarihinden başlamak üzere</w:t>
      </w:r>
      <w:r w:rsidR="0081013E" w:rsidRPr="001D10A5">
        <w:rPr>
          <w:rFonts w:asciiTheme="majorHAnsi" w:hAnsiTheme="majorHAnsi" w:cs="Tahoma"/>
          <w:sz w:val="22"/>
          <w:szCs w:val="22"/>
        </w:rPr>
        <w:t xml:space="preserve"> </w:t>
      </w:r>
      <w:r w:rsidR="00D16DAA" w:rsidRPr="001D10A5">
        <w:rPr>
          <w:rFonts w:asciiTheme="majorHAnsi" w:hAnsiTheme="majorHAnsi" w:cs="Tahoma"/>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r w:rsidR="003B7F1B" w:rsidRPr="00EA7D3C">
        <w:rPr>
          <w:rFonts w:asciiTheme="majorHAnsi" w:hAnsiTheme="majorHAnsi" w:cs="Tahoma"/>
          <w:sz w:val="22"/>
          <w:szCs w:val="22"/>
        </w:rPr>
        <w:t xml:space="preserve">Enerya’nın </w:t>
      </w:r>
      <w:r w:rsidR="00EB3BEC" w:rsidRPr="00EA7D3C">
        <w:rPr>
          <w:rFonts w:ascii="Cambria" w:hAnsi="Cambria" w:cstheme="minorHAnsi"/>
          <w:sz w:val="22"/>
          <w:szCs w:val="22"/>
        </w:rPr>
        <w:t>Derbent/KONYA, Üzümlü (Beyşehir)/KONYA, Huğlu (Beyşehir)/KONYA</w:t>
      </w:r>
      <w:r w:rsidR="001D10A5" w:rsidRPr="00EA7D3C">
        <w:rPr>
          <w:rFonts w:asciiTheme="majorHAnsi" w:hAnsiTheme="majorHAnsi" w:cs="Tahoma"/>
          <w:sz w:val="22"/>
          <w:szCs w:val="22"/>
        </w:rPr>
        <w:t xml:space="preserve"> kentinde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B668E9" w:rsidRPr="00EA7D3C" w:rsidRDefault="00B668E9" w:rsidP="00B668E9">
      <w:pPr>
        <w:pStyle w:val="Normal1"/>
        <w:spacing w:before="120" w:after="120"/>
        <w:ind w:left="567"/>
        <w:rPr>
          <w:rFonts w:asciiTheme="majorHAnsi" w:hAnsiTheme="majorHAnsi" w:cs="Tahoma"/>
          <w:sz w:val="22"/>
          <w:szCs w:val="22"/>
        </w:rPr>
      </w:pPr>
      <w:bookmarkStart w:id="18" w:name="_Toc188437591"/>
      <w:bookmarkStart w:id="19" w:name="_Toc215043244"/>
      <w:bookmarkStart w:id="20" w:name="_Toc233627102"/>
      <w:bookmarkStart w:id="21" w:name="_Toc223152978"/>
      <w:r w:rsidRPr="00EA7D3C">
        <w:rPr>
          <w:rFonts w:asciiTheme="majorHAnsi" w:hAnsiTheme="majorHAnsi" w:cs="Tahoma"/>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yada en fazla 1 (bir) yıl süreyle uzatılabilir. </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 tamamlanmadan, sözleşmede talep edilen miktarda CNG tüketimin gerçekleşmesi durumunda, DAĞITIM ŞİRKETİ’nce yeni ihaleye çıkılabilir yada DAĞITIM ŞİRKETİ talebine istinaden tarafların mutabakatı halinde işbu sözleşme, koşulları aynı kalacak şekilde, en fazla 6 (altı) ay süreyle devam ettirilebilir. </w:t>
      </w:r>
    </w:p>
    <w:p w:rsidR="0057393D" w:rsidRPr="00EA7D3C" w:rsidRDefault="00B668E9" w:rsidP="00B668E9">
      <w:pPr>
        <w:pStyle w:val="Normal1"/>
        <w:spacing w:before="120" w:beforeAutospacing="0" w:after="120" w:afterAutospacing="0"/>
        <w:ind w:left="567"/>
        <w:rPr>
          <w:rFonts w:asciiTheme="majorHAnsi" w:hAnsiTheme="majorHAnsi" w:cs="Tahoma"/>
          <w:sz w:val="22"/>
          <w:szCs w:val="22"/>
        </w:rPr>
      </w:pPr>
      <w:r w:rsidRPr="00EA7D3C">
        <w:rPr>
          <w:rFonts w:asciiTheme="majorHAnsi" w:hAnsiTheme="majorHAnsi" w:cs="Tahoma"/>
          <w:sz w:val="22"/>
          <w:szCs w:val="22"/>
        </w:rPr>
        <w:t>Sözleşme süresinin ve sö</w:t>
      </w:r>
      <w:r w:rsidR="001C1084" w:rsidRPr="00EA7D3C">
        <w:rPr>
          <w:rFonts w:asciiTheme="majorHAnsi" w:hAnsiTheme="majorHAnsi" w:cs="Tahoma"/>
          <w:sz w:val="22"/>
          <w:szCs w:val="22"/>
        </w:rPr>
        <w:t>zleşmede talep edilen miktarda C</w:t>
      </w:r>
      <w:r w:rsidRPr="00EA7D3C">
        <w:rPr>
          <w:rFonts w:asciiTheme="majorHAnsi" w:hAnsiTheme="majorHAnsi" w:cs="Tahoma"/>
          <w:sz w:val="22"/>
          <w:szCs w:val="22"/>
        </w:rPr>
        <w:t>NG tüketimin her ikisininde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BA30F7" w:rsidRDefault="00BA30F7" w:rsidP="00BA30F7">
      <w:pPr>
        <w:pStyle w:val="Normal1"/>
        <w:spacing w:before="120" w:beforeAutospacing="0" w:after="120" w:afterAutospacing="0"/>
        <w:ind w:left="567"/>
        <w:rPr>
          <w:rFonts w:asciiTheme="majorHAnsi" w:hAnsiTheme="majorHAnsi" w:cs="Tahoma"/>
          <w:color w:val="000000"/>
          <w:sz w:val="8"/>
          <w:szCs w:val="22"/>
        </w:rPr>
      </w:pPr>
    </w:p>
    <w:p w:rsidR="001C1084" w:rsidRDefault="001C1084" w:rsidP="00BA30F7">
      <w:pPr>
        <w:pStyle w:val="Normal1"/>
        <w:spacing w:before="120" w:beforeAutospacing="0" w:after="120" w:afterAutospacing="0"/>
        <w:ind w:left="567"/>
        <w:rPr>
          <w:rFonts w:asciiTheme="majorHAnsi" w:hAnsiTheme="majorHAnsi" w:cs="Tahoma"/>
          <w:color w:val="000000"/>
          <w:sz w:val="8"/>
          <w:szCs w:val="22"/>
        </w:rPr>
      </w:pPr>
    </w:p>
    <w:p w:rsidR="001C1084" w:rsidRPr="0028174B" w:rsidRDefault="001C1084"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lastRenderedPageBreak/>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4254" w:rsidRDefault="006D4254" w:rsidP="006D4254">
      <w:pPr>
        <w:pStyle w:val="Normal1"/>
        <w:spacing w:before="0" w:beforeAutospacing="0" w:after="0" w:afterAutospacing="0"/>
        <w:ind w:left="567"/>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"2024-2025!R1C1:R16C8" \a \f 4 \h </w:instrText>
      </w:r>
      <w:r w:rsidR="00C4440F">
        <w:instrText xml:space="preserve"> \* MERGEFORMAT </w:instrText>
      </w:r>
      <w:r>
        <w:fldChar w:fldCharType="separate"/>
      </w:r>
      <w:bookmarkStart w:id="24" w:name="RANGE!A1"/>
    </w:p>
    <w:bookmarkEnd w:id="24"/>
    <w:p w:rsidR="00496A74" w:rsidRDefault="006D4254" w:rsidP="006D4254">
      <w:pPr>
        <w:pStyle w:val="Normal1"/>
        <w:spacing w:before="0" w:beforeAutospacing="0" w:after="0" w:afterAutospacing="0"/>
      </w:pPr>
      <w:r>
        <w:rPr>
          <w:rFonts w:asciiTheme="majorHAnsi" w:hAnsiTheme="majorHAnsi" w:cs="Tahoma"/>
          <w:color w:val="000000"/>
          <w:spacing w:val="-1"/>
          <w:sz w:val="22"/>
          <w:szCs w:val="22"/>
        </w:rPr>
        <w:fldChar w:fldCharType="end"/>
      </w:r>
    </w:p>
    <w:tbl>
      <w:tblPr>
        <w:tblW w:w="7024" w:type="dxa"/>
        <w:tblInd w:w="763" w:type="dxa"/>
        <w:tblCellMar>
          <w:left w:w="70" w:type="dxa"/>
          <w:right w:w="70" w:type="dxa"/>
        </w:tblCellMar>
        <w:tblLook w:val="04A0" w:firstRow="1" w:lastRow="0" w:firstColumn="1" w:lastColumn="0" w:noHBand="0" w:noVBand="1"/>
      </w:tblPr>
      <w:tblGrid>
        <w:gridCol w:w="1026"/>
        <w:gridCol w:w="1187"/>
        <w:gridCol w:w="1552"/>
        <w:gridCol w:w="1699"/>
        <w:gridCol w:w="1560"/>
      </w:tblGrid>
      <w:tr w:rsidR="00496A74" w:rsidTr="00496A74">
        <w:trPr>
          <w:trHeight w:val="539"/>
        </w:trPr>
        <w:tc>
          <w:tcPr>
            <w:tcW w:w="10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YIL</w:t>
            </w:r>
          </w:p>
        </w:tc>
        <w:tc>
          <w:tcPr>
            <w:tcW w:w="11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AY</w:t>
            </w:r>
          </w:p>
        </w:tc>
        <w:tc>
          <w:tcPr>
            <w:tcW w:w="1552" w:type="dxa"/>
            <w:tcBorders>
              <w:top w:val="single" w:sz="8" w:space="0" w:color="auto"/>
              <w:left w:val="nil"/>
              <w:bottom w:val="nil"/>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 xml:space="preserve">TESLİM NOKTASI </w:t>
            </w:r>
          </w:p>
        </w:tc>
        <w:tc>
          <w:tcPr>
            <w:tcW w:w="1699" w:type="dxa"/>
            <w:tcBorders>
              <w:top w:val="single" w:sz="8" w:space="0" w:color="auto"/>
              <w:left w:val="nil"/>
              <w:bottom w:val="nil"/>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TESLİM NOKTASI ;</w:t>
            </w:r>
          </w:p>
        </w:tc>
        <w:tc>
          <w:tcPr>
            <w:tcW w:w="1560" w:type="dxa"/>
            <w:tcBorders>
              <w:top w:val="single" w:sz="8" w:space="0" w:color="auto"/>
              <w:left w:val="nil"/>
              <w:bottom w:val="nil"/>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 xml:space="preserve">TESLİM NOKTASI </w:t>
            </w:r>
          </w:p>
        </w:tc>
      </w:tr>
      <w:tr w:rsidR="00496A74" w:rsidTr="00496A74">
        <w:trPr>
          <w:trHeight w:val="48"/>
        </w:trPr>
        <w:tc>
          <w:tcPr>
            <w:tcW w:w="1026"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DERBENT</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HUĞLU</w:t>
            </w:r>
          </w:p>
        </w:tc>
        <w:tc>
          <w:tcPr>
            <w:tcW w:w="1560"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ÜZÜMLÜ</w:t>
            </w:r>
          </w:p>
        </w:tc>
      </w:tr>
      <w:tr w:rsidR="00496A74" w:rsidTr="00496A74">
        <w:trPr>
          <w:trHeight w:val="293"/>
        </w:trPr>
        <w:tc>
          <w:tcPr>
            <w:tcW w:w="1026"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560"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MİKTAR Sm3</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2025</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EKİM</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7.042</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10.089</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2025</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KASIM</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197.966</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283.650</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000000" w:fill="FFFFFF"/>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2025</w:t>
            </w:r>
          </w:p>
        </w:tc>
        <w:tc>
          <w:tcPr>
            <w:tcW w:w="1187" w:type="dxa"/>
            <w:tcBorders>
              <w:top w:val="nil"/>
              <w:left w:val="nil"/>
              <w:bottom w:val="single" w:sz="8" w:space="0" w:color="auto"/>
              <w:right w:val="single" w:sz="8" w:space="0" w:color="auto"/>
            </w:tcBorders>
            <w:shd w:val="clear" w:color="000000" w:fill="FFFFFF"/>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ARALIK</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88.404</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226.945</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325.172</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OCAK</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164.206</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317.809</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455.364</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ŞUBAT</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136.013</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263.244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377.181</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MART</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110.975</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214.783</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307.746</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NİSAN</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70.653</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136.744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195.930</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MAYIS</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27.697</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53.606</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76.809</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HAZİRAN</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10.414</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20.155</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28.879</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TEMMUZ</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7.572</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14.654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20.997</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AĞUSTOS</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7.441</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14.401</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20.634</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EYLÜL</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7.576</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14.664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21.010</w:t>
            </w:r>
          </w:p>
        </w:tc>
      </w:tr>
      <w:tr w:rsidR="00496A74" w:rsidTr="00496A74">
        <w:trPr>
          <w:trHeight w:val="237"/>
        </w:trPr>
        <w:tc>
          <w:tcPr>
            <w:tcW w:w="1026" w:type="dxa"/>
            <w:tcBorders>
              <w:top w:val="nil"/>
              <w:left w:val="single" w:sz="8" w:space="0" w:color="auto"/>
              <w:bottom w:val="single" w:sz="8" w:space="0" w:color="auto"/>
              <w:right w:val="single" w:sz="8" w:space="0" w:color="auto"/>
            </w:tcBorders>
            <w:shd w:val="clear" w:color="000000" w:fill="DDEBF7"/>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 </w:t>
            </w:r>
          </w:p>
        </w:tc>
        <w:tc>
          <w:tcPr>
            <w:tcW w:w="1187" w:type="dxa"/>
            <w:tcBorders>
              <w:top w:val="nil"/>
              <w:left w:val="nil"/>
              <w:bottom w:val="single" w:sz="8" w:space="0" w:color="auto"/>
              <w:right w:val="single" w:sz="8" w:space="0" w:color="auto"/>
            </w:tcBorders>
            <w:shd w:val="clear" w:color="000000" w:fill="DDEBF7"/>
            <w:noWrap/>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552" w:type="dxa"/>
            <w:tcBorders>
              <w:top w:val="nil"/>
              <w:left w:val="nil"/>
              <w:bottom w:val="single" w:sz="8" w:space="0" w:color="auto"/>
              <w:right w:val="single" w:sz="8" w:space="0" w:color="auto"/>
            </w:tcBorders>
            <w:shd w:val="clear" w:color="000000" w:fill="DDEBF7"/>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630.951</w:t>
            </w:r>
          </w:p>
        </w:tc>
        <w:tc>
          <w:tcPr>
            <w:tcW w:w="1699" w:type="dxa"/>
            <w:tcBorders>
              <w:top w:val="nil"/>
              <w:left w:val="nil"/>
              <w:bottom w:val="single" w:sz="8" w:space="0" w:color="auto"/>
              <w:right w:val="single" w:sz="8" w:space="0" w:color="auto"/>
            </w:tcBorders>
            <w:shd w:val="clear" w:color="000000" w:fill="DDEBF7"/>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1.482.013</w:t>
            </w:r>
          </w:p>
        </w:tc>
        <w:tc>
          <w:tcPr>
            <w:tcW w:w="1560" w:type="dxa"/>
            <w:tcBorders>
              <w:top w:val="nil"/>
              <w:left w:val="nil"/>
              <w:bottom w:val="single" w:sz="8" w:space="0" w:color="auto"/>
              <w:right w:val="single" w:sz="8" w:space="0" w:color="auto"/>
            </w:tcBorders>
            <w:shd w:val="clear" w:color="000000" w:fill="DDEBF7"/>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2.123.461</w:t>
            </w:r>
          </w:p>
        </w:tc>
      </w:tr>
      <w:tr w:rsidR="00496A74" w:rsidTr="00496A74">
        <w:trPr>
          <w:trHeight w:val="237"/>
        </w:trPr>
        <w:tc>
          <w:tcPr>
            <w:tcW w:w="1026" w:type="dxa"/>
            <w:tcBorders>
              <w:top w:val="nil"/>
              <w:left w:val="single" w:sz="8" w:space="0" w:color="auto"/>
              <w:bottom w:val="single" w:sz="8" w:space="0" w:color="auto"/>
              <w:right w:val="single" w:sz="8" w:space="0" w:color="auto"/>
            </w:tcBorders>
            <w:shd w:val="clear" w:color="000000" w:fill="DDEBF7"/>
            <w:noWrap/>
            <w:vAlign w:val="center"/>
          </w:tcPr>
          <w:p w:rsidR="00496A74" w:rsidRDefault="00496A74" w:rsidP="00CF368B">
            <w:pPr>
              <w:jc w:val="center"/>
              <w:rPr>
                <w:rFonts w:ascii="Calibri" w:hAnsi="Calibri" w:cs="Calibri"/>
                <w:b/>
                <w:bCs/>
                <w:color w:val="000000"/>
              </w:rPr>
            </w:pPr>
          </w:p>
          <w:p w:rsidR="00496A74" w:rsidRDefault="00496A74" w:rsidP="00CF368B">
            <w:pPr>
              <w:jc w:val="center"/>
              <w:rPr>
                <w:rFonts w:ascii="Calibri" w:hAnsi="Calibri" w:cs="Calibri"/>
                <w:b/>
                <w:bCs/>
                <w:color w:val="000000"/>
              </w:rPr>
            </w:pPr>
          </w:p>
        </w:tc>
        <w:tc>
          <w:tcPr>
            <w:tcW w:w="1187" w:type="dxa"/>
            <w:tcBorders>
              <w:top w:val="nil"/>
              <w:left w:val="nil"/>
              <w:bottom w:val="single" w:sz="8" w:space="0" w:color="auto"/>
              <w:right w:val="single" w:sz="8" w:space="0" w:color="auto"/>
            </w:tcBorders>
            <w:shd w:val="clear" w:color="000000" w:fill="DDEBF7"/>
            <w:noWrap/>
            <w:vAlign w:val="center"/>
          </w:tcPr>
          <w:p w:rsidR="00496A74" w:rsidRDefault="00496A74" w:rsidP="00CF368B">
            <w:pPr>
              <w:jc w:val="center"/>
              <w:rPr>
                <w:rFonts w:ascii="Calibri" w:hAnsi="Calibri" w:cs="Calibri"/>
                <w:b/>
                <w:bCs/>
                <w:color w:val="000000"/>
                <w:sz w:val="22"/>
                <w:szCs w:val="22"/>
              </w:rPr>
            </w:pPr>
          </w:p>
        </w:tc>
        <w:tc>
          <w:tcPr>
            <w:tcW w:w="1552" w:type="dxa"/>
            <w:tcBorders>
              <w:top w:val="nil"/>
              <w:left w:val="nil"/>
              <w:bottom w:val="single" w:sz="8" w:space="0" w:color="auto"/>
              <w:right w:val="single" w:sz="8" w:space="0" w:color="auto"/>
            </w:tcBorders>
            <w:shd w:val="clear" w:color="000000" w:fill="DDEBF7"/>
            <w:vAlign w:val="center"/>
          </w:tcPr>
          <w:p w:rsidR="00496A74" w:rsidRDefault="00496A74" w:rsidP="00CF368B">
            <w:pPr>
              <w:jc w:val="center"/>
              <w:rPr>
                <w:rFonts w:ascii="Calibri" w:hAnsi="Calibri" w:cs="Calibri"/>
                <w:b/>
                <w:bCs/>
                <w:color w:val="000000"/>
                <w:sz w:val="22"/>
                <w:szCs w:val="22"/>
              </w:rPr>
            </w:pPr>
          </w:p>
        </w:tc>
        <w:tc>
          <w:tcPr>
            <w:tcW w:w="1699" w:type="dxa"/>
            <w:tcBorders>
              <w:top w:val="nil"/>
              <w:left w:val="nil"/>
              <w:bottom w:val="single" w:sz="8" w:space="0" w:color="auto"/>
              <w:right w:val="single" w:sz="8" w:space="0" w:color="auto"/>
            </w:tcBorders>
            <w:shd w:val="clear" w:color="000000" w:fill="DDEBF7"/>
            <w:vAlign w:val="center"/>
          </w:tcPr>
          <w:p w:rsidR="00496A74" w:rsidRDefault="00496A74" w:rsidP="00CF368B">
            <w:pPr>
              <w:jc w:val="center"/>
              <w:rPr>
                <w:rFonts w:ascii="Calibri" w:hAnsi="Calibri" w:cs="Calibri"/>
                <w:b/>
                <w:bCs/>
                <w:color w:val="000000"/>
                <w:sz w:val="22"/>
                <w:szCs w:val="22"/>
              </w:rPr>
            </w:pPr>
          </w:p>
        </w:tc>
        <w:tc>
          <w:tcPr>
            <w:tcW w:w="1560" w:type="dxa"/>
            <w:tcBorders>
              <w:top w:val="nil"/>
              <w:left w:val="nil"/>
              <w:bottom w:val="single" w:sz="8" w:space="0" w:color="auto"/>
              <w:right w:val="single" w:sz="8" w:space="0" w:color="auto"/>
            </w:tcBorders>
            <w:shd w:val="clear" w:color="000000" w:fill="DDEBF7"/>
            <w:vAlign w:val="center"/>
          </w:tcPr>
          <w:p w:rsidR="00496A74" w:rsidRDefault="00496A74" w:rsidP="00CF368B">
            <w:pPr>
              <w:jc w:val="center"/>
              <w:rPr>
                <w:rFonts w:ascii="Calibri" w:hAnsi="Calibri" w:cs="Calibri"/>
                <w:b/>
                <w:bCs/>
                <w:color w:val="000000"/>
                <w:sz w:val="22"/>
                <w:szCs w:val="22"/>
              </w:rPr>
            </w:pPr>
          </w:p>
        </w:tc>
      </w:tr>
    </w:tbl>
    <w:p w:rsidR="00DA56E1" w:rsidRDefault="00DA56E1" w:rsidP="006D4254">
      <w:pPr>
        <w:pStyle w:val="Normal1"/>
        <w:spacing w:before="0" w:beforeAutospacing="0" w:after="0" w:afterAutospacing="0"/>
      </w:pPr>
    </w:p>
    <w:tbl>
      <w:tblPr>
        <w:tblpPr w:leftFromText="141" w:rightFromText="141" w:vertAnchor="text" w:horzAnchor="page" w:tblpX="2869" w:tblpY="-3"/>
        <w:tblW w:w="4962" w:type="dxa"/>
        <w:tblCellMar>
          <w:left w:w="70" w:type="dxa"/>
          <w:right w:w="70" w:type="dxa"/>
        </w:tblCellMar>
        <w:tblLook w:val="04A0" w:firstRow="1" w:lastRow="0" w:firstColumn="1" w:lastColumn="0" w:noHBand="0" w:noVBand="1"/>
      </w:tblPr>
      <w:tblGrid>
        <w:gridCol w:w="2552"/>
        <w:gridCol w:w="2410"/>
      </w:tblGrid>
      <w:tr w:rsidR="00156103" w:rsidRPr="00763852" w:rsidTr="00CF368B">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56103" w:rsidRPr="00763852" w:rsidRDefault="00156103" w:rsidP="00CF368B">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156103" w:rsidRPr="00763852" w:rsidRDefault="00156103" w:rsidP="00CF368B">
            <w:pPr>
              <w:jc w:val="center"/>
              <w:rPr>
                <w:rFonts w:ascii="Calibri" w:hAnsi="Calibri" w:cs="Calibri"/>
                <w:b/>
                <w:bCs/>
                <w:color w:val="000000"/>
                <w:sz w:val="22"/>
              </w:rPr>
            </w:pPr>
            <w:r>
              <w:rPr>
                <w:rFonts w:ascii="Calibri" w:hAnsi="Calibri" w:cs="Calibri"/>
                <w:b/>
                <w:bCs/>
                <w:color w:val="000000"/>
                <w:sz w:val="22"/>
              </w:rPr>
              <w:t>4.236.425</w:t>
            </w:r>
          </w:p>
        </w:tc>
      </w:tr>
    </w:tbl>
    <w:p w:rsidR="00496A74" w:rsidRDefault="00496A74" w:rsidP="006D4254">
      <w:pPr>
        <w:pStyle w:val="Normal1"/>
        <w:spacing w:before="0" w:beforeAutospacing="0" w:after="0" w:afterAutospacing="0"/>
      </w:pPr>
    </w:p>
    <w:p w:rsidR="00156103" w:rsidRDefault="00156103" w:rsidP="006D4254">
      <w:pPr>
        <w:pStyle w:val="Normal1"/>
        <w:spacing w:before="0" w:beforeAutospacing="0" w:after="0" w:afterAutospacing="0"/>
      </w:pPr>
    </w:p>
    <w:p w:rsidR="006D4254" w:rsidRDefault="006D4254" w:rsidP="006D4254">
      <w:pPr>
        <w:pStyle w:val="Normal1"/>
        <w:spacing w:before="0" w:beforeAutospacing="0" w:after="0" w:afterAutospacing="0"/>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p w:rsidR="00167ECA" w:rsidRDefault="006D4254" w:rsidP="00496A7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r w:rsidR="00167ECA" w:rsidRPr="008F520D">
        <w:rPr>
          <w:rFonts w:asciiTheme="minorHAnsi" w:hAnsiTheme="minorHAnsi" w:cstheme="minorHAnsi"/>
          <w:sz w:val="24"/>
          <w:szCs w:val="24"/>
        </w:rPr>
        <w:t xml:space="preserve">Satın alınacak CNG miktarı toplam </w:t>
      </w:r>
      <w:r w:rsidR="00156103" w:rsidRPr="00156103">
        <w:rPr>
          <w:rFonts w:asciiTheme="minorHAnsi" w:hAnsiTheme="minorHAnsi" w:cstheme="minorHAnsi"/>
          <w:b/>
          <w:bCs/>
          <w:sz w:val="24"/>
          <w:szCs w:val="24"/>
        </w:rPr>
        <w:t>4.236.425</w:t>
      </w:r>
      <w:r w:rsidR="00156103">
        <w:rPr>
          <w:rFonts w:asciiTheme="minorHAnsi" w:hAnsiTheme="minorHAnsi" w:cstheme="minorHAnsi"/>
          <w:b/>
          <w:bCs/>
          <w:sz w:val="24"/>
          <w:szCs w:val="24"/>
        </w:rPr>
        <w:t xml:space="preserve"> </w:t>
      </w:r>
      <w:bookmarkStart w:id="25" w:name="_GoBack"/>
      <w:bookmarkEnd w:id="25"/>
      <w:r w:rsidR="00167ECA" w:rsidRPr="008F520D">
        <w:rPr>
          <w:rFonts w:asciiTheme="minorHAnsi" w:hAnsiTheme="minorHAnsi" w:cstheme="minorHAnsi"/>
          <w:b/>
          <w:sz w:val="24"/>
          <w:szCs w:val="24"/>
        </w:rPr>
        <w:t>Sm3</w:t>
      </w:r>
      <w:r w:rsidR="00167ECA"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0F74D0" w:rsidP="001C1084">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Doğal Gazın Kalitesi:</w:t>
      </w:r>
    </w:p>
    <w:p w:rsidR="000F74D0" w:rsidRPr="0081013E" w:rsidRDefault="002F2F98" w:rsidP="00C52BB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530A0E" w:rsidRPr="00C52BB0" w:rsidRDefault="00FF0E00" w:rsidP="00C52BB0">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lastRenderedPageBreak/>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FC1F9F" w:rsidRPr="00EA7D3C">
        <w:rPr>
          <w:rFonts w:asciiTheme="majorHAnsi" w:hAnsiTheme="majorHAnsi" w:cs="Tahoma"/>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C1D37" w:rsidRDefault="002F2F98" w:rsidP="00C52BB0">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C52BB0" w:rsidRDefault="00C52BB0" w:rsidP="00C52BB0">
      <w:pPr>
        <w:spacing w:before="120" w:after="120"/>
        <w:ind w:left="567"/>
        <w:jc w:val="both"/>
        <w:rPr>
          <w:rFonts w:asciiTheme="majorHAnsi" w:hAnsiTheme="majorHAnsi" w:cs="Tahoma"/>
          <w:color w:val="000000"/>
          <w:sz w:val="22"/>
          <w:szCs w:val="22"/>
        </w:rPr>
      </w:pPr>
    </w:p>
    <w:p w:rsidR="00C52BB0" w:rsidRPr="0081013E" w:rsidRDefault="00C52BB0" w:rsidP="00C52BB0">
      <w:pPr>
        <w:spacing w:before="120" w:after="120"/>
        <w:ind w:left="567"/>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lastRenderedPageBreak/>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496A74">
          <w:footerReference w:type="even" r:id="rId8"/>
          <w:pgSz w:w="11906" w:h="16838"/>
          <w:pgMar w:top="1418"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r w:rsidRPr="00F21FC3">
        <w:rPr>
          <w:rFonts w:asciiTheme="majorHAnsi" w:hAnsiTheme="majorHAnsi" w:cs="Tahoma"/>
          <w:sz w:val="22"/>
          <w:szCs w:val="22"/>
        </w:rPr>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FE0E5A" w:rsidRDefault="00FE0E5A" w:rsidP="00D7254C">
      <w:pPr>
        <w:snapToGrid w:val="0"/>
        <w:jc w:val="both"/>
        <w:rPr>
          <w:rFonts w:ascii="Cambria" w:hAnsi="Cambria" w:cstheme="minorHAnsi"/>
          <w:color w:val="000000"/>
          <w:sz w:val="22"/>
          <w:szCs w:val="22"/>
        </w:rPr>
      </w:pPr>
      <w:r w:rsidRPr="005A5A65">
        <w:rPr>
          <w:rFonts w:ascii="Cambria" w:hAnsi="Cambria" w:cstheme="minorHAnsi"/>
          <w:color w:val="000000"/>
          <w:sz w:val="22"/>
          <w:szCs w:val="22"/>
        </w:rPr>
        <w:t>Cihanbeyli/KONYA, Bozkır/KONYA, Hadim/KONYA,  Altınekin/KONYA, Kulu (Ömeranlı)/KONYA, Çeltik/KONYA, Doğanhisar/KONYA, Hüyük/KONYA, Derebucak/KONYA, Taşkent/KONYA, Güneysınır/KONYA, Akören/KONYA</w:t>
      </w:r>
      <w:r>
        <w:rPr>
          <w:rFonts w:ascii="Cambria" w:hAnsi="Cambria" w:cstheme="minorHAnsi"/>
          <w:color w:val="000000"/>
          <w:sz w:val="22"/>
          <w:szCs w:val="22"/>
        </w:rPr>
        <w:t xml:space="preserve">, Derbent/KONYA, </w:t>
      </w:r>
      <w:r w:rsidRPr="005A5A65">
        <w:rPr>
          <w:rFonts w:ascii="Cambria" w:hAnsi="Cambria" w:cstheme="minorHAnsi"/>
          <w:color w:val="000000"/>
          <w:sz w:val="22"/>
          <w:szCs w:val="22"/>
        </w:rPr>
        <w:t>Üzümlü (Beyşehir)/KONYA, Huğlu</w:t>
      </w:r>
      <w:r>
        <w:rPr>
          <w:rFonts w:ascii="Cambria" w:hAnsi="Cambria" w:cstheme="minorHAnsi"/>
          <w:color w:val="000000"/>
          <w:sz w:val="22"/>
          <w:szCs w:val="22"/>
        </w:rPr>
        <w:t xml:space="preserve"> </w:t>
      </w:r>
      <w:r w:rsidRPr="005A5A65">
        <w:rPr>
          <w:rFonts w:ascii="Cambria" w:hAnsi="Cambria" w:cstheme="minorHAnsi"/>
          <w:color w:val="000000"/>
          <w:sz w:val="22"/>
          <w:szCs w:val="22"/>
        </w:rPr>
        <w:t>(Beyşehir)/KONYA</w:t>
      </w:r>
    </w:p>
    <w:p w:rsidR="00D7254C" w:rsidRDefault="00D7254C" w:rsidP="00D7254C">
      <w:pPr>
        <w:snapToGrid w:val="0"/>
        <w:jc w:val="both"/>
        <w:rPr>
          <w:rFonts w:ascii="Cambria" w:hAnsi="Cambria"/>
        </w:rPr>
      </w:pPr>
      <w:r>
        <w:rPr>
          <w:rFonts w:ascii="Cambria" w:hAnsi="Cambria"/>
        </w:rPr>
        <w:t xml:space="preserve">CNG Toplam Alım Miktarı </w:t>
      </w:r>
      <w:r w:rsidR="00184807">
        <w:rPr>
          <w:rFonts w:ascii="Cambria" w:hAnsi="Cambria"/>
          <w:b/>
        </w:rPr>
        <w:t>650.972</w:t>
      </w:r>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1D32F7" w:rsidRPr="006D4254" w:rsidRDefault="001D32F7" w:rsidP="001D7223">
      <w:pPr>
        <w:rPr>
          <w:rFonts w:ascii="Cambria" w:hAnsi="Cambria"/>
          <w:b/>
          <w:bCs/>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2F" w:rsidRDefault="005F3E2F">
      <w:r>
        <w:separator/>
      </w:r>
    </w:p>
  </w:endnote>
  <w:endnote w:type="continuationSeparator" w:id="0">
    <w:p w:rsidR="005F3E2F" w:rsidRDefault="005F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C3653A" w:rsidRDefault="00C3653A" w:rsidP="000E405C">
    <w:pPr>
      <w:framePr w:wrap="around" w:vAnchor="text" w:hAnchor="margin" w:xAlign="center" w:y="1"/>
    </w:pPr>
  </w:p>
  <w:p w:rsidR="00C3653A" w:rsidRDefault="00C3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rPr>
        <w:rFonts w:ascii="Microsoft Sans Serif" w:hAnsi="Microsoft Sans Serif" w:cs="Microsoft Sans Serif"/>
        <w:b/>
        <w:color w:val="000000"/>
        <w:sz w:val="17"/>
      </w:rPr>
    </w:pPr>
    <w:bookmarkStart w:id="61" w:name="aliashHeaderTagBlack6FooterPrimary"/>
    <w:bookmarkEnd w:id="61"/>
  </w:p>
  <w:p w:rsidR="00C3653A" w:rsidRPr="00554B6C" w:rsidRDefault="00C3653A"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2F" w:rsidRDefault="005F3E2F">
      <w:r>
        <w:separator/>
      </w:r>
    </w:p>
  </w:footnote>
  <w:footnote w:type="continuationSeparator" w:id="0">
    <w:p w:rsidR="005F3E2F" w:rsidRDefault="005F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6EE5"/>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A17"/>
    <w:rsid w:val="00126B32"/>
    <w:rsid w:val="00126D45"/>
    <w:rsid w:val="0012718B"/>
    <w:rsid w:val="0012743D"/>
    <w:rsid w:val="00127E31"/>
    <w:rsid w:val="001302A9"/>
    <w:rsid w:val="001308BF"/>
    <w:rsid w:val="00130A8F"/>
    <w:rsid w:val="001313F9"/>
    <w:rsid w:val="0013161C"/>
    <w:rsid w:val="0013268C"/>
    <w:rsid w:val="00132CD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0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4B70"/>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07"/>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84"/>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0A5"/>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2A5"/>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6B4E"/>
    <w:rsid w:val="002E7DF9"/>
    <w:rsid w:val="002F03EF"/>
    <w:rsid w:val="002F04F0"/>
    <w:rsid w:val="002F092D"/>
    <w:rsid w:val="002F0FBF"/>
    <w:rsid w:val="002F1E82"/>
    <w:rsid w:val="002F28AE"/>
    <w:rsid w:val="002F2BDA"/>
    <w:rsid w:val="002F2F98"/>
    <w:rsid w:val="002F35EC"/>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0EDC"/>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0C34"/>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A74"/>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2F"/>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254"/>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2A6"/>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55C"/>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890"/>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C0E"/>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080"/>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8E9"/>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653A"/>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40F"/>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BB0"/>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064"/>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D7E02"/>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56E1"/>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1"/>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A7D3C"/>
    <w:rsid w:val="00EB0BBA"/>
    <w:rsid w:val="00EB158A"/>
    <w:rsid w:val="00EB24B4"/>
    <w:rsid w:val="00EB353A"/>
    <w:rsid w:val="00EB3BEC"/>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2D8F"/>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9E6"/>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1F9F"/>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0E5A"/>
    <w:rsid w:val="00FE1CE8"/>
    <w:rsid w:val="00FE2414"/>
    <w:rsid w:val="00FE2752"/>
    <w:rsid w:val="00FE30B5"/>
    <w:rsid w:val="00FE3286"/>
    <w:rsid w:val="00FE3729"/>
    <w:rsid w:val="00FE38E8"/>
    <w:rsid w:val="00FE3ABA"/>
    <w:rsid w:val="00FE3F79"/>
    <w:rsid w:val="00FE41B7"/>
    <w:rsid w:val="00FE458D"/>
    <w:rsid w:val="00FE45B6"/>
    <w:rsid w:val="00FE4D8B"/>
    <w:rsid w:val="00FE50F0"/>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E8AAE"/>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26F5-9FD3-40A1-8539-BBF4B192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12</Pages>
  <Words>3246</Words>
  <Characters>18508</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21711</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13</cp:revision>
  <cp:lastPrinted>2015-12-28T14:36:00Z</cp:lastPrinted>
  <dcterms:created xsi:type="dcterms:W3CDTF">2024-10-23T06:39:00Z</dcterms:created>
  <dcterms:modified xsi:type="dcterms:W3CDTF">2025-07-21T11:19:00Z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