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522779">
        <w:rPr>
          <w:rFonts w:asciiTheme="majorHAnsi" w:hAnsiTheme="majorHAnsi" w:cs="Tahoma"/>
          <w:color w:val="000000"/>
          <w:sz w:val="22"/>
          <w:szCs w:val="22"/>
        </w:rPr>
        <w:t>Hacı Hasanlı Mahallesi 29. Gündoğdu Caddesi No:26 Merkez/AKSARAY</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522779">
        <w:rPr>
          <w:rFonts w:asciiTheme="majorHAnsi" w:hAnsiTheme="majorHAnsi" w:cs="Tahoma"/>
          <w:b/>
          <w:color w:val="000000"/>
          <w:sz w:val="22"/>
          <w:szCs w:val="22"/>
        </w:rPr>
        <w:t>AKSARAY</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522779">
        <w:rPr>
          <w:rFonts w:asciiTheme="majorHAnsi" w:hAnsiTheme="majorHAnsi" w:cs="Tahoma"/>
          <w:color w:val="000000"/>
          <w:sz w:val="22"/>
          <w:szCs w:val="22"/>
        </w:rPr>
        <w:t>Aksaray</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22779">
        <w:rPr>
          <w:rFonts w:asciiTheme="majorHAnsi" w:hAnsiTheme="majorHAnsi" w:cs="Tahoma"/>
          <w:color w:val="000000"/>
          <w:sz w:val="22"/>
          <w:szCs w:val="22"/>
        </w:rPr>
        <w:t>Hacı Hasanlı M</w:t>
      </w:r>
      <w:r w:rsidR="00F56DBD">
        <w:rPr>
          <w:rFonts w:asciiTheme="majorHAnsi" w:hAnsiTheme="majorHAnsi" w:cs="Tahoma"/>
          <w:color w:val="000000"/>
          <w:sz w:val="22"/>
          <w:szCs w:val="22"/>
        </w:rPr>
        <w:t xml:space="preserve">h. </w:t>
      </w:r>
      <w:r w:rsidR="00522779">
        <w:rPr>
          <w:rFonts w:asciiTheme="majorHAnsi" w:hAnsiTheme="majorHAnsi" w:cs="Tahoma"/>
          <w:color w:val="000000"/>
          <w:sz w:val="22"/>
          <w:szCs w:val="22"/>
        </w:rPr>
        <w:t>29. Gündoğdu Cd. No:26</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522779">
        <w:rPr>
          <w:rFonts w:asciiTheme="majorHAnsi" w:hAnsiTheme="majorHAnsi" w:cs="Tahoma"/>
          <w:color w:val="000000"/>
          <w:sz w:val="22"/>
          <w:szCs w:val="22"/>
        </w:rPr>
        <w:t xml:space="preserve">                        Merkez</w:t>
      </w:r>
      <w:r>
        <w:rPr>
          <w:rFonts w:asciiTheme="majorHAnsi" w:hAnsiTheme="majorHAnsi" w:cs="Tahoma"/>
          <w:color w:val="000000"/>
          <w:sz w:val="22"/>
          <w:szCs w:val="22"/>
        </w:rPr>
        <w:t>/</w:t>
      </w:r>
      <w:r w:rsidR="00522779">
        <w:rPr>
          <w:rFonts w:asciiTheme="majorHAnsi" w:hAnsiTheme="majorHAnsi" w:cs="Tahoma"/>
          <w:color w:val="000000"/>
          <w:sz w:val="22"/>
          <w:szCs w:val="22"/>
        </w:rPr>
        <w:t>AKS</w:t>
      </w:r>
      <w:r w:rsidR="0081013E">
        <w:rPr>
          <w:rFonts w:asciiTheme="majorHAnsi" w:hAnsiTheme="majorHAnsi" w:cs="Tahoma"/>
          <w:color w:val="000000"/>
          <w:sz w:val="22"/>
          <w:szCs w:val="22"/>
        </w:rPr>
        <w:t>A</w:t>
      </w:r>
      <w:r w:rsidR="00522779">
        <w:rPr>
          <w:rFonts w:asciiTheme="majorHAnsi" w:hAnsiTheme="majorHAnsi" w:cs="Tahoma"/>
          <w:color w:val="000000"/>
          <w:sz w:val="22"/>
          <w:szCs w:val="22"/>
        </w:rPr>
        <w:t>RAY</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750599">
        <w:rPr>
          <w:rFonts w:asciiTheme="majorHAnsi" w:hAnsiTheme="majorHAnsi" w:cs="Tahoma"/>
          <w:color w:val="000000"/>
          <w:sz w:val="22"/>
          <w:szCs w:val="22"/>
        </w:rPr>
        <w:t>KOZYATAĞI</w:t>
      </w:r>
      <w:r w:rsidR="00CE1F68" w:rsidRPr="00F56DBD">
        <w:rPr>
          <w:rFonts w:asciiTheme="majorHAnsi" w:hAnsiTheme="majorHAnsi" w:cs="Tahoma"/>
          <w:color w:val="000000"/>
          <w:sz w:val="22"/>
          <w:szCs w:val="22"/>
        </w:rPr>
        <w:t>/</w:t>
      </w:r>
      <w:r w:rsidR="00750599">
        <w:rPr>
          <w:rFonts w:asciiTheme="majorHAnsi" w:hAnsiTheme="majorHAnsi" w:cs="Tahoma"/>
          <w:color w:val="000000"/>
          <w:sz w:val="22"/>
          <w:szCs w:val="22"/>
        </w:rPr>
        <w:t>3230368811</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522779">
        <w:rPr>
          <w:rFonts w:asciiTheme="majorHAnsi" w:hAnsiTheme="majorHAnsi" w:cs="Tahoma"/>
          <w:color w:val="000000"/>
          <w:sz w:val="22"/>
          <w:szCs w:val="22"/>
        </w:rPr>
        <w:t>enerya.aksaray</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D601D0">
        <w:rPr>
          <w:rFonts w:asciiTheme="majorHAnsi" w:hAnsiTheme="majorHAnsi" w:cs="Tahoma"/>
          <w:color w:val="000000"/>
          <w:sz w:val="22"/>
          <w:szCs w:val="22"/>
        </w:rPr>
        <w:t>01.</w:t>
      </w:r>
      <w:bookmarkStart w:id="7" w:name="_GoBack"/>
      <w:bookmarkEnd w:id="7"/>
      <w:r w:rsidR="00D601D0">
        <w:rPr>
          <w:rFonts w:asciiTheme="majorHAnsi" w:hAnsiTheme="majorHAnsi" w:cs="Tahoma"/>
          <w:color w:val="000000"/>
          <w:sz w:val="22"/>
          <w:szCs w:val="22"/>
        </w:rPr>
        <w:t>10</w:t>
      </w:r>
      <w:r w:rsidR="0069496A">
        <w:rPr>
          <w:rFonts w:asciiTheme="majorHAnsi" w:hAnsiTheme="majorHAnsi" w:cs="Tahoma"/>
          <w:color w:val="000000"/>
          <w:sz w:val="22"/>
          <w:szCs w:val="22"/>
        </w:rPr>
        <w:t>.20</w:t>
      </w:r>
      <w:r w:rsidR="00DB642C">
        <w:rPr>
          <w:rFonts w:asciiTheme="majorHAnsi" w:hAnsiTheme="majorHAnsi" w:cs="Tahoma"/>
          <w:color w:val="000000"/>
          <w:sz w:val="22"/>
          <w:szCs w:val="22"/>
        </w:rPr>
        <w:t>22</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1F0910" w:rsidRDefault="00990A57" w:rsidP="00BA30F7">
      <w:pPr>
        <w:pStyle w:val="Normal1"/>
        <w:spacing w:before="120" w:beforeAutospacing="0" w:after="120" w:afterAutospacing="0"/>
        <w:ind w:left="567"/>
        <w:rPr>
          <w:rFonts w:asciiTheme="majorHAnsi" w:hAnsiTheme="majorHAnsi" w:cs="Tahoma"/>
          <w:color w:val="000000" w:themeColor="text1"/>
          <w:sz w:val="22"/>
          <w:szCs w:val="22"/>
        </w:rPr>
      </w:pPr>
      <w:r w:rsidRPr="00B17422">
        <w:rPr>
          <w:rFonts w:asciiTheme="majorHAnsi" w:hAnsiTheme="majorHAnsi" w:cs="Tahoma"/>
          <w:b/>
          <w:color w:val="000000" w:themeColor="text1"/>
          <w:sz w:val="22"/>
          <w:szCs w:val="22"/>
        </w:rPr>
        <w:t>Sözleşme Yılı</w:t>
      </w:r>
      <w:r w:rsidR="00B17422" w:rsidRPr="00B17422">
        <w:rPr>
          <w:rFonts w:asciiTheme="majorHAnsi" w:hAnsiTheme="majorHAnsi" w:cs="Tahoma"/>
          <w:b/>
          <w:color w:val="000000" w:themeColor="text1"/>
          <w:sz w:val="22"/>
          <w:szCs w:val="22"/>
        </w:rPr>
        <w:t>:</w:t>
      </w:r>
      <w:r w:rsidRPr="0081013E">
        <w:rPr>
          <w:rFonts w:asciiTheme="majorHAnsi" w:hAnsiTheme="majorHAnsi" w:cs="Tahoma"/>
          <w:color w:val="000000" w:themeColor="text1"/>
          <w:sz w:val="22"/>
          <w:szCs w:val="22"/>
        </w:rPr>
        <w:t xml:space="preserve"> Sözleşmenin yürü</w:t>
      </w:r>
      <w:r w:rsidR="00392561" w:rsidRPr="0081013E">
        <w:rPr>
          <w:rFonts w:asciiTheme="majorHAnsi" w:hAnsiTheme="majorHAnsi" w:cs="Tahoma"/>
          <w:color w:val="000000" w:themeColor="text1"/>
          <w:sz w:val="22"/>
          <w:szCs w:val="22"/>
        </w:rPr>
        <w:t>r</w:t>
      </w:r>
      <w:r w:rsidRPr="0081013E">
        <w:rPr>
          <w:rFonts w:asciiTheme="majorHAnsi" w:hAnsiTheme="majorHAnsi" w:cs="Tahoma"/>
          <w:color w:val="000000" w:themeColor="text1"/>
          <w:sz w:val="22"/>
          <w:szCs w:val="22"/>
        </w:rPr>
        <w:t>lükte olduğu yılın 1</w:t>
      </w:r>
      <w:r w:rsidR="00522779">
        <w:rPr>
          <w:rFonts w:asciiTheme="majorHAnsi" w:hAnsiTheme="majorHAnsi" w:cs="Tahoma"/>
          <w:color w:val="000000" w:themeColor="text1"/>
          <w:sz w:val="22"/>
          <w:szCs w:val="22"/>
        </w:rPr>
        <w:t>Temmuz</w:t>
      </w:r>
      <w:r w:rsidRPr="0081013E">
        <w:rPr>
          <w:rFonts w:asciiTheme="majorHAnsi" w:hAnsiTheme="majorHAnsi" w:cs="Tahoma"/>
          <w:color w:val="000000" w:themeColor="text1"/>
          <w:sz w:val="22"/>
          <w:szCs w:val="22"/>
        </w:rPr>
        <w:t xml:space="preserve"> günü saat 08.00’de başlayıp bir sonraki yılın 1 </w:t>
      </w:r>
      <w:r w:rsidR="00522779">
        <w:rPr>
          <w:rFonts w:asciiTheme="majorHAnsi" w:hAnsiTheme="majorHAnsi" w:cs="Tahoma"/>
          <w:color w:val="000000" w:themeColor="text1"/>
          <w:sz w:val="22"/>
          <w:szCs w:val="22"/>
        </w:rPr>
        <w:t>Temmuz</w:t>
      </w:r>
      <w:r w:rsidRPr="0081013E">
        <w:rPr>
          <w:rFonts w:asciiTheme="majorHAnsi" w:hAnsiTheme="majorHAnsi" w:cs="Tahoma"/>
          <w:color w:val="000000" w:themeColor="text1"/>
          <w:sz w:val="22"/>
          <w:szCs w:val="22"/>
        </w:rPr>
        <w:t xml:space="preserve"> günü saat 08.00’de sona eren her bir yılı</w:t>
      </w:r>
      <w:r w:rsidR="00522779">
        <w:rPr>
          <w:rFonts w:asciiTheme="majorHAnsi" w:hAnsiTheme="majorHAnsi" w:cs="Tahoma"/>
          <w:color w:val="000000" w:themeColor="text1"/>
          <w:sz w:val="22"/>
          <w:szCs w:val="22"/>
        </w:rPr>
        <w:t xml:space="preserve"> </w:t>
      </w:r>
      <w:r w:rsidRPr="0081013E">
        <w:rPr>
          <w:rFonts w:asciiTheme="majorHAnsi" w:hAnsiTheme="majorHAnsi" w:cs="Tahoma"/>
          <w:color w:val="000000" w:themeColor="text1"/>
          <w:sz w:val="22"/>
          <w:szCs w:val="22"/>
        </w:rPr>
        <w:t>ifade eder</w:t>
      </w:r>
      <w:bookmarkStart w:id="8" w:name="_Toc188354609"/>
      <w:bookmarkStart w:id="9" w:name="_Toc188433778"/>
      <w:bookmarkStart w:id="10" w:name="_Toc188433822"/>
      <w:bookmarkStart w:id="11" w:name="_Toc188433902"/>
      <w:bookmarkStart w:id="12" w:name="_Toc215043242"/>
      <w:bookmarkStart w:id="13" w:name="_Toc233627100"/>
      <w:bookmarkStart w:id="14" w:name="_Toc223152976"/>
      <w:r w:rsidR="00BA30F7">
        <w:rPr>
          <w:rFonts w:asciiTheme="majorHAnsi" w:hAnsiTheme="majorHAnsi" w:cs="Tahoma"/>
          <w:color w:val="000000" w:themeColor="text1"/>
          <w:sz w:val="22"/>
          <w:szCs w:val="22"/>
        </w:rPr>
        <w:t>.</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bookmarkEnd w:id="8"/>
    <w:bookmarkEnd w:id="9"/>
    <w:bookmarkEnd w:id="10"/>
    <w:bookmarkEnd w:id="11"/>
    <w:bookmarkEnd w:id="12"/>
    <w:bookmarkEnd w:id="13"/>
    <w:bookmarkEnd w:id="14"/>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5" w:name="_Toc188437595"/>
      <w:bookmarkStart w:id="16" w:name="_Toc215043248"/>
      <w:bookmarkStart w:id="17" w:name="_Toc233627106"/>
      <w:bookmarkStart w:id="18"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5"/>
      <w:bookmarkEnd w:id="16"/>
      <w:bookmarkEnd w:id="17"/>
      <w:bookmarkEnd w:id="18"/>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sidRPr="00BA30F7">
        <w:rPr>
          <w:rFonts w:asciiTheme="majorHAnsi" w:hAnsiTheme="majorHAnsi" w:cs="Tahoma"/>
          <w:color w:val="000000"/>
          <w:sz w:val="22"/>
          <w:szCs w:val="22"/>
        </w:rPr>
        <w:t>Sözleşmenin süresi, is</w:t>
      </w:r>
      <w:r w:rsidR="00392561" w:rsidRPr="00BA30F7">
        <w:rPr>
          <w:rFonts w:asciiTheme="majorHAnsi" w:hAnsiTheme="majorHAnsi" w:cs="Tahoma"/>
          <w:color w:val="000000"/>
          <w:sz w:val="22"/>
          <w:szCs w:val="22"/>
        </w:rPr>
        <w:t xml:space="preserve">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lastRenderedPageBreak/>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A6199A" w:rsidRDefault="00A6199A" w:rsidP="00F646AB">
      <w:pPr>
        <w:pStyle w:val="Normal1"/>
        <w:spacing w:before="120" w:beforeAutospacing="0" w:after="120" w:afterAutospacing="0"/>
        <w:rPr>
          <w:rFonts w:asciiTheme="majorHAnsi" w:hAnsiTheme="majorHAnsi" w:cs="Tahoma"/>
          <w:color w:val="000000"/>
          <w:spacing w:val="-1"/>
          <w:sz w:val="22"/>
          <w:szCs w:val="22"/>
        </w:rPr>
      </w:pPr>
    </w:p>
    <w:tbl>
      <w:tblPr>
        <w:tblW w:w="9204" w:type="dxa"/>
        <w:tblCellMar>
          <w:left w:w="70" w:type="dxa"/>
          <w:right w:w="70" w:type="dxa"/>
        </w:tblCellMar>
        <w:tblLook w:val="04A0" w:firstRow="1" w:lastRow="0" w:firstColumn="1" w:lastColumn="0" w:noHBand="0" w:noVBand="1"/>
      </w:tblPr>
      <w:tblGrid>
        <w:gridCol w:w="728"/>
        <w:gridCol w:w="1166"/>
        <w:gridCol w:w="1765"/>
        <w:gridCol w:w="1860"/>
        <w:gridCol w:w="1842"/>
        <w:gridCol w:w="1843"/>
      </w:tblGrid>
      <w:tr w:rsidR="00F646AB" w:rsidTr="00F646AB">
        <w:trPr>
          <w:trHeight w:val="288"/>
        </w:trPr>
        <w:tc>
          <w:tcPr>
            <w:tcW w:w="72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YIL</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AY</w:t>
            </w:r>
          </w:p>
        </w:tc>
        <w:tc>
          <w:tcPr>
            <w:tcW w:w="1765" w:type="dxa"/>
            <w:tcBorders>
              <w:top w:val="single" w:sz="8" w:space="0" w:color="auto"/>
              <w:left w:val="nil"/>
              <w:bottom w:val="nil"/>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TESLİM NOKTASI ;</w:t>
            </w:r>
          </w:p>
        </w:tc>
        <w:tc>
          <w:tcPr>
            <w:tcW w:w="1860" w:type="dxa"/>
            <w:tcBorders>
              <w:top w:val="single" w:sz="8" w:space="0" w:color="auto"/>
              <w:left w:val="nil"/>
              <w:bottom w:val="nil"/>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TESLİM NOKTASI ;</w:t>
            </w:r>
          </w:p>
        </w:tc>
        <w:tc>
          <w:tcPr>
            <w:tcW w:w="1842" w:type="dxa"/>
            <w:tcBorders>
              <w:top w:val="single" w:sz="8" w:space="0" w:color="auto"/>
              <w:left w:val="nil"/>
              <w:bottom w:val="nil"/>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TESLİM NOKTASI ;</w:t>
            </w:r>
          </w:p>
        </w:tc>
        <w:tc>
          <w:tcPr>
            <w:tcW w:w="1843" w:type="dxa"/>
            <w:tcBorders>
              <w:top w:val="single" w:sz="8" w:space="0" w:color="auto"/>
              <w:left w:val="nil"/>
              <w:bottom w:val="nil"/>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TESLİM NOKTASI ;</w:t>
            </w:r>
          </w:p>
        </w:tc>
      </w:tr>
      <w:tr w:rsidR="00F646AB" w:rsidTr="00F646AB">
        <w:trPr>
          <w:trHeight w:val="300"/>
        </w:trPr>
        <w:tc>
          <w:tcPr>
            <w:tcW w:w="728" w:type="dxa"/>
            <w:vMerge/>
            <w:tcBorders>
              <w:top w:val="single" w:sz="8" w:space="0" w:color="auto"/>
              <w:left w:val="single" w:sz="8" w:space="0" w:color="auto"/>
              <w:bottom w:val="single" w:sz="8" w:space="0" w:color="000000"/>
              <w:right w:val="single" w:sz="8" w:space="0" w:color="auto"/>
            </w:tcBorders>
            <w:vAlign w:val="center"/>
            <w:hideMark/>
          </w:tcPr>
          <w:p w:rsidR="00F646AB" w:rsidRDefault="00F646AB">
            <w:pPr>
              <w:rPr>
                <w:rFonts w:ascii="Calibri" w:hAnsi="Calibri" w:cs="Calibri"/>
                <w:b/>
                <w:bCs/>
                <w:color w:val="000000"/>
                <w:sz w:val="22"/>
                <w:szCs w:val="22"/>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646AB" w:rsidRDefault="00F646AB">
            <w:pPr>
              <w:rPr>
                <w:rFonts w:ascii="Calibri" w:hAnsi="Calibri" w:cs="Calibri"/>
                <w:b/>
                <w:bCs/>
                <w:color w:val="000000"/>
                <w:sz w:val="22"/>
                <w:szCs w:val="22"/>
              </w:rPr>
            </w:pP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GÜZELYURT</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GÜLAĞAÇ</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AĞAÇÖREN</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SARIYAHŞİ</w:t>
            </w:r>
          </w:p>
        </w:tc>
      </w:tr>
      <w:tr w:rsidR="00F646AB" w:rsidTr="00F646AB">
        <w:trPr>
          <w:trHeight w:val="300"/>
        </w:trPr>
        <w:tc>
          <w:tcPr>
            <w:tcW w:w="728" w:type="dxa"/>
            <w:vMerge/>
            <w:tcBorders>
              <w:top w:val="single" w:sz="8" w:space="0" w:color="auto"/>
              <w:left w:val="single" w:sz="8" w:space="0" w:color="auto"/>
              <w:bottom w:val="single" w:sz="8" w:space="0" w:color="000000"/>
              <w:right w:val="single" w:sz="8" w:space="0" w:color="auto"/>
            </w:tcBorders>
            <w:vAlign w:val="center"/>
            <w:hideMark/>
          </w:tcPr>
          <w:p w:rsidR="00F646AB" w:rsidRDefault="00F646AB">
            <w:pPr>
              <w:rPr>
                <w:rFonts w:ascii="Calibri" w:hAnsi="Calibri" w:cs="Calibri"/>
                <w:b/>
                <w:bCs/>
                <w:color w:val="000000"/>
                <w:sz w:val="22"/>
                <w:szCs w:val="22"/>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646AB" w:rsidRDefault="00F646AB">
            <w:pPr>
              <w:rPr>
                <w:rFonts w:ascii="Calibri" w:hAnsi="Calibri" w:cs="Calibri"/>
                <w:b/>
                <w:bCs/>
                <w:color w:val="000000"/>
                <w:sz w:val="22"/>
                <w:szCs w:val="22"/>
              </w:rPr>
            </w:pP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MİKTAR Sm3</w:t>
            </w:r>
          </w:p>
        </w:tc>
      </w:tr>
      <w:tr w:rsidR="00F646AB" w:rsidTr="00F646AB">
        <w:trPr>
          <w:trHeight w:val="315"/>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2022</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EKİM</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50.375</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50.375</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50.375</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50.375</w:t>
            </w:r>
          </w:p>
        </w:tc>
      </w:tr>
      <w:tr w:rsidR="00F646AB" w:rsidTr="00F646AB">
        <w:trPr>
          <w:trHeight w:val="315"/>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2022</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KASIM</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72.000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72.000</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72.000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72.000</w:t>
            </w:r>
          </w:p>
        </w:tc>
      </w:tr>
      <w:tr w:rsidR="00F646AB" w:rsidTr="00F646AB">
        <w:trPr>
          <w:trHeight w:val="315"/>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2022</w:t>
            </w:r>
          </w:p>
        </w:tc>
        <w:tc>
          <w:tcPr>
            <w:tcW w:w="1166" w:type="dxa"/>
            <w:tcBorders>
              <w:top w:val="nil"/>
              <w:left w:val="nil"/>
              <w:bottom w:val="single" w:sz="8" w:space="0" w:color="auto"/>
              <w:right w:val="single" w:sz="8" w:space="0" w:color="auto"/>
            </w:tcBorders>
            <w:shd w:val="clear" w:color="000000" w:fill="FFFFFF"/>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ARALIK</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79.050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101.711</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79.050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79.050</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OCAK</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93.000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119.660</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93.000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93.000</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ŞUBAT</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75.600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97.272</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75.600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75.600</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MART</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74.400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95.728</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74.400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74.400</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NİSAN</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36.000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46.320</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36.000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36.000</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MAYIS</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15.872</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19.840</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15.872</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15.872</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HAZİRAN</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3.150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3.600</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3.150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3.150</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TEMMUZ</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1.953</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2.170</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1.736</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1.953</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AĞUSTOS</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2.170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2.604</w:t>
            </w:r>
          </w:p>
        </w:tc>
        <w:tc>
          <w:tcPr>
            <w:tcW w:w="1842"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2.170</w:t>
            </w:r>
          </w:p>
        </w:tc>
        <w:tc>
          <w:tcPr>
            <w:tcW w:w="1843"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color w:val="000000"/>
                <w:sz w:val="22"/>
                <w:szCs w:val="22"/>
              </w:rPr>
            </w:pPr>
            <w:r>
              <w:rPr>
                <w:rFonts w:ascii="Calibri" w:hAnsi="Calibri" w:cs="Calibri"/>
                <w:color w:val="000000"/>
                <w:sz w:val="22"/>
                <w:szCs w:val="22"/>
              </w:rPr>
              <w:t>2.170</w:t>
            </w:r>
          </w:p>
        </w:tc>
      </w:tr>
      <w:tr w:rsidR="00DA6A28" w:rsidTr="00F646AB">
        <w:trPr>
          <w:trHeight w:val="300"/>
        </w:trPr>
        <w:tc>
          <w:tcPr>
            <w:tcW w:w="728" w:type="dxa"/>
            <w:tcBorders>
              <w:top w:val="nil"/>
              <w:left w:val="single" w:sz="8" w:space="0" w:color="auto"/>
              <w:bottom w:val="single" w:sz="8" w:space="0" w:color="auto"/>
              <w:right w:val="single" w:sz="8" w:space="0" w:color="auto"/>
            </w:tcBorders>
            <w:shd w:val="clear" w:color="auto" w:fill="auto"/>
            <w:noWrap/>
            <w:vAlign w:val="center"/>
          </w:tcPr>
          <w:p w:rsidR="00DA6A28" w:rsidRDefault="00DA6A28" w:rsidP="00DA6A28">
            <w:pPr>
              <w:jc w:val="both"/>
              <w:rPr>
                <w:rFonts w:ascii="Calibri" w:hAnsi="Calibri" w:cs="Calibri"/>
                <w:b/>
                <w:bCs/>
                <w:color w:val="000000"/>
                <w:sz w:val="22"/>
                <w:szCs w:val="22"/>
              </w:rPr>
            </w:pPr>
            <w:r>
              <w:rPr>
                <w:rFonts w:ascii="Calibri" w:hAnsi="Calibri" w:cs="Calibri"/>
                <w:b/>
                <w:bCs/>
                <w:color w:val="000000"/>
                <w:sz w:val="22"/>
                <w:szCs w:val="22"/>
              </w:rPr>
              <w:t>2023</w:t>
            </w:r>
          </w:p>
        </w:tc>
        <w:tc>
          <w:tcPr>
            <w:tcW w:w="1166" w:type="dxa"/>
            <w:tcBorders>
              <w:top w:val="nil"/>
              <w:left w:val="nil"/>
              <w:bottom w:val="single" w:sz="8" w:space="0" w:color="auto"/>
              <w:right w:val="single" w:sz="8" w:space="0" w:color="auto"/>
            </w:tcBorders>
            <w:shd w:val="clear" w:color="auto" w:fill="auto"/>
            <w:noWrap/>
            <w:vAlign w:val="center"/>
          </w:tcPr>
          <w:p w:rsidR="00DA6A28" w:rsidRDefault="00DA6A28" w:rsidP="00DA6A28">
            <w:pPr>
              <w:jc w:val="both"/>
              <w:rPr>
                <w:rFonts w:ascii="Calibri" w:hAnsi="Calibri" w:cs="Calibri"/>
                <w:color w:val="000000"/>
                <w:sz w:val="22"/>
                <w:szCs w:val="22"/>
              </w:rPr>
            </w:pPr>
            <w:r>
              <w:rPr>
                <w:rFonts w:ascii="Calibri" w:hAnsi="Calibri" w:cs="Calibri"/>
                <w:color w:val="000000"/>
                <w:sz w:val="22"/>
                <w:szCs w:val="22"/>
              </w:rPr>
              <w:t>EYLÜL</w:t>
            </w:r>
          </w:p>
        </w:tc>
        <w:tc>
          <w:tcPr>
            <w:tcW w:w="1765" w:type="dxa"/>
            <w:tcBorders>
              <w:top w:val="nil"/>
              <w:left w:val="nil"/>
              <w:bottom w:val="single" w:sz="8" w:space="0" w:color="auto"/>
              <w:right w:val="single" w:sz="8" w:space="0" w:color="auto"/>
            </w:tcBorders>
            <w:shd w:val="clear" w:color="auto" w:fill="auto"/>
            <w:vAlign w:val="center"/>
          </w:tcPr>
          <w:p w:rsidR="00DA6A28" w:rsidRDefault="00DA6A28" w:rsidP="00DA6A28">
            <w:pPr>
              <w:jc w:val="both"/>
              <w:rPr>
                <w:rFonts w:ascii="Calibri" w:hAnsi="Calibri" w:cs="Calibri"/>
                <w:color w:val="000000"/>
                <w:sz w:val="22"/>
                <w:szCs w:val="22"/>
              </w:rPr>
            </w:pPr>
            <w:r>
              <w:rPr>
                <w:rFonts w:ascii="Calibri" w:hAnsi="Calibri" w:cs="Calibri"/>
                <w:color w:val="000000"/>
                <w:sz w:val="22"/>
                <w:szCs w:val="22"/>
              </w:rPr>
              <w:t>6.750</w:t>
            </w:r>
          </w:p>
        </w:tc>
        <w:tc>
          <w:tcPr>
            <w:tcW w:w="1860" w:type="dxa"/>
            <w:tcBorders>
              <w:top w:val="nil"/>
              <w:left w:val="nil"/>
              <w:bottom w:val="single" w:sz="8" w:space="0" w:color="auto"/>
              <w:right w:val="single" w:sz="8" w:space="0" w:color="auto"/>
            </w:tcBorders>
            <w:shd w:val="clear" w:color="auto" w:fill="auto"/>
            <w:vAlign w:val="center"/>
          </w:tcPr>
          <w:p w:rsidR="00DA6A28" w:rsidRDefault="00DA6A28" w:rsidP="00DA6A28">
            <w:pPr>
              <w:jc w:val="both"/>
              <w:rPr>
                <w:rFonts w:ascii="Calibri" w:hAnsi="Calibri" w:cs="Calibri"/>
                <w:color w:val="000000"/>
                <w:sz w:val="22"/>
                <w:szCs w:val="22"/>
              </w:rPr>
            </w:pPr>
            <w:r>
              <w:rPr>
                <w:rFonts w:ascii="Calibri" w:hAnsi="Calibri" w:cs="Calibri"/>
                <w:color w:val="000000"/>
                <w:sz w:val="22"/>
                <w:szCs w:val="22"/>
              </w:rPr>
              <w:t>9.000</w:t>
            </w:r>
          </w:p>
        </w:tc>
        <w:tc>
          <w:tcPr>
            <w:tcW w:w="1842" w:type="dxa"/>
            <w:tcBorders>
              <w:top w:val="nil"/>
              <w:left w:val="nil"/>
              <w:bottom w:val="single" w:sz="8" w:space="0" w:color="auto"/>
              <w:right w:val="single" w:sz="8" w:space="0" w:color="auto"/>
            </w:tcBorders>
            <w:shd w:val="clear" w:color="auto" w:fill="auto"/>
            <w:vAlign w:val="center"/>
          </w:tcPr>
          <w:p w:rsidR="00DA6A28" w:rsidRDefault="00DA6A28" w:rsidP="00DA6A28">
            <w:pPr>
              <w:jc w:val="both"/>
              <w:rPr>
                <w:rFonts w:ascii="Calibri" w:hAnsi="Calibri" w:cs="Calibri"/>
                <w:color w:val="000000"/>
                <w:sz w:val="22"/>
                <w:szCs w:val="22"/>
              </w:rPr>
            </w:pPr>
            <w:r>
              <w:rPr>
                <w:rFonts w:ascii="Calibri" w:hAnsi="Calibri" w:cs="Calibri"/>
                <w:color w:val="000000"/>
                <w:sz w:val="22"/>
                <w:szCs w:val="22"/>
              </w:rPr>
              <w:t>6.750</w:t>
            </w:r>
          </w:p>
        </w:tc>
        <w:tc>
          <w:tcPr>
            <w:tcW w:w="1843" w:type="dxa"/>
            <w:tcBorders>
              <w:top w:val="nil"/>
              <w:left w:val="nil"/>
              <w:bottom w:val="single" w:sz="8" w:space="0" w:color="auto"/>
              <w:right w:val="single" w:sz="8" w:space="0" w:color="auto"/>
            </w:tcBorders>
            <w:shd w:val="clear" w:color="auto" w:fill="auto"/>
            <w:vAlign w:val="center"/>
          </w:tcPr>
          <w:p w:rsidR="00DA6A28" w:rsidRDefault="00DA6A28" w:rsidP="00DA6A28">
            <w:pPr>
              <w:jc w:val="both"/>
              <w:rPr>
                <w:rFonts w:ascii="Calibri" w:hAnsi="Calibri" w:cs="Calibri"/>
                <w:color w:val="000000"/>
                <w:sz w:val="22"/>
                <w:szCs w:val="22"/>
              </w:rPr>
            </w:pPr>
            <w:r>
              <w:rPr>
                <w:rFonts w:ascii="Calibri" w:hAnsi="Calibri" w:cs="Calibri"/>
                <w:color w:val="000000"/>
                <w:sz w:val="22"/>
                <w:szCs w:val="22"/>
              </w:rPr>
              <w:t>6.750</w:t>
            </w:r>
          </w:p>
        </w:tc>
      </w:tr>
      <w:tr w:rsidR="00F646AB" w:rsidTr="00F646AB">
        <w:trPr>
          <w:trHeight w:val="300"/>
        </w:trPr>
        <w:tc>
          <w:tcPr>
            <w:tcW w:w="728" w:type="dxa"/>
            <w:tcBorders>
              <w:top w:val="nil"/>
              <w:left w:val="single" w:sz="8" w:space="0" w:color="auto"/>
              <w:bottom w:val="single" w:sz="8" w:space="0" w:color="auto"/>
              <w:right w:val="single" w:sz="8" w:space="0" w:color="auto"/>
            </w:tcBorders>
            <w:shd w:val="clear" w:color="000000" w:fill="DDEBF7"/>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 </w:t>
            </w:r>
          </w:p>
        </w:tc>
        <w:tc>
          <w:tcPr>
            <w:tcW w:w="1166" w:type="dxa"/>
            <w:tcBorders>
              <w:top w:val="nil"/>
              <w:left w:val="nil"/>
              <w:bottom w:val="single" w:sz="8" w:space="0" w:color="auto"/>
              <w:right w:val="single" w:sz="8" w:space="0" w:color="auto"/>
            </w:tcBorders>
            <w:shd w:val="clear" w:color="000000" w:fill="DDEBF7"/>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TOPLAM</w:t>
            </w:r>
          </w:p>
        </w:tc>
        <w:tc>
          <w:tcPr>
            <w:tcW w:w="1765" w:type="dxa"/>
            <w:tcBorders>
              <w:top w:val="nil"/>
              <w:left w:val="nil"/>
              <w:bottom w:val="single" w:sz="8" w:space="0" w:color="auto"/>
              <w:right w:val="single" w:sz="8" w:space="0" w:color="auto"/>
            </w:tcBorders>
            <w:shd w:val="clear" w:color="000000" w:fill="DDEBF7"/>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510.320</w:t>
            </w:r>
          </w:p>
        </w:tc>
        <w:tc>
          <w:tcPr>
            <w:tcW w:w="1860" w:type="dxa"/>
            <w:tcBorders>
              <w:top w:val="nil"/>
              <w:left w:val="nil"/>
              <w:bottom w:val="single" w:sz="8" w:space="0" w:color="auto"/>
              <w:right w:val="single" w:sz="8" w:space="0" w:color="auto"/>
            </w:tcBorders>
            <w:shd w:val="clear" w:color="000000" w:fill="DDEBF7"/>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620.280</w:t>
            </w:r>
          </w:p>
        </w:tc>
        <w:tc>
          <w:tcPr>
            <w:tcW w:w="1842" w:type="dxa"/>
            <w:tcBorders>
              <w:top w:val="nil"/>
              <w:left w:val="nil"/>
              <w:bottom w:val="single" w:sz="8" w:space="0" w:color="auto"/>
              <w:right w:val="single" w:sz="8" w:space="0" w:color="auto"/>
            </w:tcBorders>
            <w:shd w:val="clear" w:color="000000" w:fill="DDEBF7"/>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510.103</w:t>
            </w:r>
          </w:p>
        </w:tc>
        <w:tc>
          <w:tcPr>
            <w:tcW w:w="1843" w:type="dxa"/>
            <w:tcBorders>
              <w:top w:val="nil"/>
              <w:left w:val="nil"/>
              <w:bottom w:val="single" w:sz="8" w:space="0" w:color="auto"/>
              <w:right w:val="single" w:sz="8" w:space="0" w:color="auto"/>
            </w:tcBorders>
            <w:shd w:val="clear" w:color="000000" w:fill="DDEBF7"/>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510.320</w:t>
            </w:r>
          </w:p>
        </w:tc>
      </w:tr>
      <w:tr w:rsidR="00F646AB" w:rsidTr="00F646AB">
        <w:trPr>
          <w:trHeight w:val="300"/>
        </w:trPr>
        <w:tc>
          <w:tcPr>
            <w:tcW w:w="728" w:type="dxa"/>
            <w:tcBorders>
              <w:top w:val="nil"/>
              <w:left w:val="nil"/>
              <w:bottom w:val="single" w:sz="8" w:space="0" w:color="auto"/>
              <w:right w:val="nil"/>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 </w:t>
            </w:r>
          </w:p>
        </w:tc>
        <w:tc>
          <w:tcPr>
            <w:tcW w:w="1166" w:type="dxa"/>
            <w:tcBorders>
              <w:top w:val="nil"/>
              <w:left w:val="nil"/>
              <w:bottom w:val="single" w:sz="8" w:space="0" w:color="auto"/>
              <w:right w:val="nil"/>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 </w:t>
            </w:r>
          </w:p>
        </w:tc>
        <w:tc>
          <w:tcPr>
            <w:tcW w:w="1765" w:type="dxa"/>
            <w:tcBorders>
              <w:top w:val="nil"/>
              <w:left w:val="nil"/>
              <w:bottom w:val="single" w:sz="8" w:space="0" w:color="auto"/>
              <w:right w:val="nil"/>
            </w:tcBorders>
            <w:shd w:val="clear" w:color="auto" w:fill="auto"/>
            <w:vAlign w:val="center"/>
            <w:hideMark/>
          </w:tcPr>
          <w:p w:rsidR="00F646AB" w:rsidRDefault="00F646AB">
            <w:pPr>
              <w:jc w:val="both"/>
              <w:rPr>
                <w:rFonts w:ascii="Calibri" w:hAnsi="Calibri" w:cs="Calibri"/>
                <w:b/>
                <w:bCs/>
                <w:color w:val="FF0000"/>
                <w:sz w:val="22"/>
                <w:szCs w:val="22"/>
              </w:rPr>
            </w:pPr>
            <w:r>
              <w:rPr>
                <w:rFonts w:ascii="Calibri" w:hAnsi="Calibri" w:cs="Calibri"/>
                <w:b/>
                <w:bCs/>
                <w:color w:val="FF0000"/>
                <w:sz w:val="22"/>
                <w:szCs w:val="22"/>
              </w:rPr>
              <w:t> </w:t>
            </w:r>
          </w:p>
        </w:tc>
        <w:tc>
          <w:tcPr>
            <w:tcW w:w="1860" w:type="dxa"/>
            <w:tcBorders>
              <w:top w:val="nil"/>
              <w:left w:val="nil"/>
              <w:bottom w:val="single" w:sz="8" w:space="0" w:color="auto"/>
              <w:right w:val="nil"/>
            </w:tcBorders>
            <w:shd w:val="clear" w:color="auto" w:fill="auto"/>
            <w:vAlign w:val="center"/>
            <w:hideMark/>
          </w:tcPr>
          <w:p w:rsidR="00F646AB" w:rsidRDefault="00F646AB">
            <w:pPr>
              <w:jc w:val="both"/>
              <w:rPr>
                <w:rFonts w:ascii="Calibri" w:hAnsi="Calibri" w:cs="Calibri"/>
                <w:b/>
                <w:bCs/>
                <w:color w:val="FF0000"/>
                <w:sz w:val="22"/>
                <w:szCs w:val="22"/>
              </w:rPr>
            </w:pPr>
            <w:r>
              <w:rPr>
                <w:rFonts w:ascii="Calibri" w:hAnsi="Calibri" w:cs="Calibri"/>
                <w:b/>
                <w:bCs/>
                <w:color w:val="FF0000"/>
                <w:sz w:val="22"/>
                <w:szCs w:val="22"/>
              </w:rPr>
              <w:t> </w:t>
            </w:r>
          </w:p>
        </w:tc>
        <w:tc>
          <w:tcPr>
            <w:tcW w:w="3685" w:type="dxa"/>
            <w:gridSpan w:val="2"/>
            <w:tcBorders>
              <w:top w:val="nil"/>
              <w:left w:val="nil"/>
              <w:bottom w:val="nil"/>
              <w:right w:val="nil"/>
            </w:tcBorders>
            <w:shd w:val="clear" w:color="auto" w:fill="auto"/>
            <w:vAlign w:val="center"/>
            <w:hideMark/>
          </w:tcPr>
          <w:p w:rsidR="00F646AB" w:rsidRDefault="00F646AB">
            <w:pPr>
              <w:jc w:val="both"/>
              <w:rPr>
                <w:rFonts w:ascii="Calibri" w:hAnsi="Calibri" w:cs="Calibri"/>
                <w:b/>
                <w:bCs/>
                <w:color w:val="FF0000"/>
                <w:sz w:val="22"/>
                <w:szCs w:val="22"/>
              </w:rPr>
            </w:pPr>
          </w:p>
        </w:tc>
      </w:tr>
      <w:tr w:rsidR="00F646AB" w:rsidTr="00F646AB">
        <w:trPr>
          <w:trHeight w:val="300"/>
        </w:trPr>
        <w:tc>
          <w:tcPr>
            <w:tcW w:w="18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GENEL TOPLAM</w:t>
            </w:r>
          </w:p>
        </w:tc>
        <w:tc>
          <w:tcPr>
            <w:tcW w:w="1765"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510.320</w:t>
            </w:r>
          </w:p>
        </w:tc>
        <w:tc>
          <w:tcPr>
            <w:tcW w:w="1860" w:type="dxa"/>
            <w:tcBorders>
              <w:top w:val="nil"/>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620.280</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510.103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510.320</w:t>
            </w:r>
          </w:p>
        </w:tc>
      </w:tr>
      <w:tr w:rsidR="00F646AB" w:rsidTr="00F646AB">
        <w:trPr>
          <w:trHeight w:val="300"/>
        </w:trPr>
        <w:tc>
          <w:tcPr>
            <w:tcW w:w="728" w:type="dxa"/>
            <w:tcBorders>
              <w:top w:val="nil"/>
              <w:left w:val="nil"/>
              <w:bottom w:val="nil"/>
              <w:right w:val="nil"/>
            </w:tcBorders>
            <w:shd w:val="clear" w:color="auto" w:fill="auto"/>
            <w:noWrap/>
            <w:vAlign w:val="bottom"/>
            <w:hideMark/>
          </w:tcPr>
          <w:p w:rsidR="00F646AB" w:rsidRDefault="00F646AB">
            <w:pPr>
              <w:jc w:val="both"/>
              <w:rPr>
                <w:rFonts w:ascii="Calibri" w:hAnsi="Calibri" w:cs="Calibri"/>
                <w:b/>
                <w:bCs/>
                <w:color w:val="000000"/>
                <w:sz w:val="22"/>
                <w:szCs w:val="22"/>
              </w:rPr>
            </w:pPr>
          </w:p>
        </w:tc>
        <w:tc>
          <w:tcPr>
            <w:tcW w:w="1166" w:type="dxa"/>
            <w:tcBorders>
              <w:top w:val="nil"/>
              <w:left w:val="nil"/>
              <w:bottom w:val="nil"/>
              <w:right w:val="nil"/>
            </w:tcBorders>
            <w:shd w:val="clear" w:color="auto" w:fill="auto"/>
            <w:noWrap/>
            <w:vAlign w:val="bottom"/>
            <w:hideMark/>
          </w:tcPr>
          <w:p w:rsidR="00F646AB" w:rsidRDefault="00F646AB">
            <w:pPr>
              <w:rPr>
                <w:sz w:val="20"/>
                <w:szCs w:val="20"/>
              </w:rPr>
            </w:pPr>
          </w:p>
        </w:tc>
        <w:tc>
          <w:tcPr>
            <w:tcW w:w="1765" w:type="dxa"/>
            <w:tcBorders>
              <w:top w:val="nil"/>
              <w:left w:val="nil"/>
              <w:bottom w:val="nil"/>
              <w:right w:val="nil"/>
            </w:tcBorders>
            <w:shd w:val="clear" w:color="auto" w:fill="auto"/>
            <w:vAlign w:val="center"/>
            <w:hideMark/>
          </w:tcPr>
          <w:p w:rsidR="00F646AB" w:rsidRDefault="00F646AB">
            <w:pPr>
              <w:rPr>
                <w:sz w:val="20"/>
                <w:szCs w:val="20"/>
              </w:rPr>
            </w:pPr>
          </w:p>
        </w:tc>
        <w:tc>
          <w:tcPr>
            <w:tcW w:w="1860" w:type="dxa"/>
            <w:tcBorders>
              <w:top w:val="nil"/>
              <w:left w:val="nil"/>
              <w:bottom w:val="nil"/>
              <w:right w:val="nil"/>
            </w:tcBorders>
            <w:shd w:val="clear" w:color="auto" w:fill="auto"/>
            <w:vAlign w:val="center"/>
            <w:hideMark/>
          </w:tcPr>
          <w:p w:rsidR="00F646AB" w:rsidRDefault="00F646AB">
            <w:pPr>
              <w:jc w:val="both"/>
              <w:rPr>
                <w:sz w:val="20"/>
                <w:szCs w:val="20"/>
              </w:rPr>
            </w:pPr>
          </w:p>
        </w:tc>
        <w:tc>
          <w:tcPr>
            <w:tcW w:w="1842" w:type="dxa"/>
            <w:tcBorders>
              <w:top w:val="nil"/>
              <w:left w:val="nil"/>
              <w:bottom w:val="nil"/>
              <w:right w:val="nil"/>
            </w:tcBorders>
            <w:shd w:val="clear" w:color="auto" w:fill="auto"/>
            <w:vAlign w:val="center"/>
            <w:hideMark/>
          </w:tcPr>
          <w:p w:rsidR="00F646AB" w:rsidRDefault="00F646AB">
            <w:pPr>
              <w:jc w:val="both"/>
              <w:rPr>
                <w:sz w:val="20"/>
                <w:szCs w:val="20"/>
              </w:rPr>
            </w:pPr>
          </w:p>
        </w:tc>
        <w:tc>
          <w:tcPr>
            <w:tcW w:w="1843" w:type="dxa"/>
            <w:tcBorders>
              <w:top w:val="nil"/>
              <w:left w:val="nil"/>
              <w:bottom w:val="nil"/>
              <w:right w:val="nil"/>
            </w:tcBorders>
            <w:shd w:val="clear" w:color="auto" w:fill="auto"/>
            <w:vAlign w:val="center"/>
            <w:hideMark/>
          </w:tcPr>
          <w:p w:rsidR="00F646AB" w:rsidRDefault="00F646AB">
            <w:pPr>
              <w:jc w:val="both"/>
              <w:rPr>
                <w:sz w:val="20"/>
                <w:szCs w:val="20"/>
              </w:rPr>
            </w:pPr>
          </w:p>
        </w:tc>
      </w:tr>
      <w:tr w:rsidR="00F646AB" w:rsidTr="00F646AB">
        <w:trPr>
          <w:trHeight w:val="300"/>
        </w:trPr>
        <w:tc>
          <w:tcPr>
            <w:tcW w:w="1894"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SÖZLEŞME TOPLAMI</w:t>
            </w:r>
          </w:p>
        </w:tc>
        <w:tc>
          <w:tcPr>
            <w:tcW w:w="1765" w:type="dxa"/>
            <w:tcBorders>
              <w:top w:val="single" w:sz="8" w:space="0" w:color="auto"/>
              <w:left w:val="nil"/>
              <w:bottom w:val="single" w:sz="8" w:space="0" w:color="auto"/>
              <w:right w:val="single" w:sz="8" w:space="0" w:color="auto"/>
            </w:tcBorders>
            <w:shd w:val="clear" w:color="000000" w:fill="DDEBF7"/>
            <w:noWrap/>
            <w:vAlign w:val="center"/>
            <w:hideMark/>
          </w:tcPr>
          <w:p w:rsidR="00F646AB" w:rsidRDefault="00F646AB">
            <w:pPr>
              <w:jc w:val="both"/>
              <w:rPr>
                <w:rFonts w:ascii="Calibri" w:hAnsi="Calibri" w:cs="Calibri"/>
                <w:b/>
                <w:bCs/>
                <w:color w:val="000000"/>
                <w:sz w:val="22"/>
                <w:szCs w:val="22"/>
              </w:rPr>
            </w:pPr>
            <w:r>
              <w:rPr>
                <w:rFonts w:ascii="Calibri" w:hAnsi="Calibri" w:cs="Calibri"/>
                <w:b/>
                <w:bCs/>
                <w:color w:val="000000"/>
                <w:sz w:val="22"/>
                <w:szCs w:val="22"/>
              </w:rPr>
              <w:t>2.151.023</w:t>
            </w:r>
          </w:p>
        </w:tc>
        <w:tc>
          <w:tcPr>
            <w:tcW w:w="1860" w:type="dxa"/>
            <w:tcBorders>
              <w:top w:val="nil"/>
              <w:left w:val="nil"/>
              <w:bottom w:val="nil"/>
              <w:right w:val="nil"/>
            </w:tcBorders>
            <w:shd w:val="clear" w:color="auto" w:fill="auto"/>
            <w:noWrap/>
            <w:vAlign w:val="center"/>
            <w:hideMark/>
          </w:tcPr>
          <w:p w:rsidR="00F646AB" w:rsidRDefault="00F646AB">
            <w:pPr>
              <w:jc w:val="both"/>
              <w:rPr>
                <w:rFonts w:ascii="Calibri" w:hAnsi="Calibri" w:cs="Calibri"/>
                <w:b/>
                <w:bCs/>
                <w:color w:val="000000"/>
                <w:sz w:val="22"/>
                <w:szCs w:val="22"/>
              </w:rPr>
            </w:pPr>
          </w:p>
        </w:tc>
        <w:tc>
          <w:tcPr>
            <w:tcW w:w="1842" w:type="dxa"/>
            <w:tcBorders>
              <w:top w:val="nil"/>
              <w:left w:val="nil"/>
              <w:bottom w:val="nil"/>
              <w:right w:val="nil"/>
            </w:tcBorders>
            <w:shd w:val="clear" w:color="auto" w:fill="auto"/>
            <w:vAlign w:val="center"/>
            <w:hideMark/>
          </w:tcPr>
          <w:p w:rsidR="00F646AB" w:rsidRDefault="00F646AB">
            <w:pPr>
              <w:rPr>
                <w:sz w:val="20"/>
                <w:szCs w:val="20"/>
              </w:rPr>
            </w:pPr>
          </w:p>
        </w:tc>
        <w:tc>
          <w:tcPr>
            <w:tcW w:w="1843" w:type="dxa"/>
            <w:tcBorders>
              <w:top w:val="nil"/>
              <w:left w:val="nil"/>
              <w:bottom w:val="nil"/>
              <w:right w:val="nil"/>
            </w:tcBorders>
            <w:shd w:val="clear" w:color="auto" w:fill="auto"/>
            <w:vAlign w:val="center"/>
            <w:hideMark/>
          </w:tcPr>
          <w:p w:rsidR="00F646AB" w:rsidRDefault="00F646AB">
            <w:pPr>
              <w:jc w:val="both"/>
              <w:rPr>
                <w:sz w:val="20"/>
                <w:szCs w:val="20"/>
              </w:rPr>
            </w:pPr>
          </w:p>
        </w:tc>
      </w:tr>
    </w:tbl>
    <w:p w:rsidR="00F646AB" w:rsidRDefault="00F646AB" w:rsidP="00F646AB">
      <w:pPr>
        <w:pStyle w:val="Normal1"/>
        <w:spacing w:before="120" w:beforeAutospacing="0" w:after="120" w:afterAutospacing="0"/>
        <w:rPr>
          <w:rFonts w:asciiTheme="majorHAnsi" w:hAnsiTheme="majorHAnsi" w:cs="Tahoma"/>
          <w:color w:val="000000"/>
          <w:spacing w:val="-1"/>
          <w:sz w:val="22"/>
          <w:szCs w:val="22"/>
        </w:rPr>
      </w:pPr>
    </w:p>
    <w:p w:rsidR="00A6199A" w:rsidRDefault="00A6199A" w:rsidP="000F74D0">
      <w:pPr>
        <w:pStyle w:val="Normal1"/>
        <w:spacing w:before="120" w:beforeAutospacing="0" w:after="120" w:afterAutospacing="0"/>
        <w:ind w:left="567"/>
        <w:rPr>
          <w:rFonts w:asciiTheme="majorHAnsi" w:hAnsiTheme="majorHAnsi" w:cs="Tahoma"/>
          <w:color w:val="000000"/>
          <w:spacing w:val="-1"/>
          <w:sz w:val="22"/>
          <w:szCs w:val="22"/>
        </w:rPr>
      </w:pPr>
    </w:p>
    <w:p w:rsidR="00A6199A" w:rsidRDefault="00A6199A" w:rsidP="000F74D0">
      <w:pPr>
        <w:pStyle w:val="Normal1"/>
        <w:spacing w:before="120" w:beforeAutospacing="0" w:after="120" w:afterAutospacing="0"/>
        <w:ind w:left="567"/>
        <w:rPr>
          <w:rFonts w:asciiTheme="majorHAnsi" w:hAnsiTheme="majorHAnsi" w:cs="Tahoma"/>
          <w:color w:val="000000"/>
          <w:spacing w:val="-1"/>
          <w:sz w:val="22"/>
          <w:szCs w:val="22"/>
        </w:rPr>
      </w:pPr>
    </w:p>
    <w:p w:rsidR="00DB642C" w:rsidRDefault="00F31F63" w:rsidP="00F5676F">
      <w:pPr>
        <w:snapToGrid w:val="0"/>
        <w:jc w:val="both"/>
        <w:rPr>
          <w:rFonts w:ascii="Cambria" w:hAnsi="Cambria"/>
        </w:rPr>
        <w:sectPr w:rsidR="00DB642C" w:rsidSect="00F31F63">
          <w:footerReference w:type="even" r:id="rId8"/>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F646AB" w:rsidRPr="00D601D0">
        <w:rPr>
          <w:rFonts w:ascii="Cambria" w:hAnsi="Cambria"/>
          <w:b/>
        </w:rPr>
        <w:t>2.151</w:t>
      </w:r>
      <w:r w:rsidR="00A6199A" w:rsidRPr="00D601D0">
        <w:rPr>
          <w:rFonts w:ascii="Cambria" w:hAnsi="Cambria"/>
          <w:b/>
        </w:rPr>
        <w:t>.0</w:t>
      </w:r>
      <w:r w:rsidR="00F646AB" w:rsidRPr="00D601D0">
        <w:rPr>
          <w:rFonts w:ascii="Cambria" w:hAnsi="Cambria"/>
          <w:b/>
        </w:rPr>
        <w:t>23</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P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lastRenderedPageBreak/>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522779">
        <w:rPr>
          <w:rFonts w:asciiTheme="majorHAnsi" w:hAnsiTheme="majorHAnsi" w:cs="Tahoma"/>
          <w:b/>
          <w:color w:val="000000"/>
          <w:sz w:val="22"/>
          <w:szCs w:val="22"/>
        </w:rPr>
        <w:t xml:space="preserve"> AKSARAY</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646AB"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Gülağaç / Aksaray</w:t>
      </w:r>
    </w:p>
    <w:p w:rsidR="00D7254C" w:rsidRDefault="00D7254C" w:rsidP="00D7254C">
      <w:pPr>
        <w:snapToGrid w:val="0"/>
        <w:jc w:val="both"/>
        <w:rPr>
          <w:rFonts w:ascii="Cambria" w:hAnsi="Cambria"/>
        </w:rPr>
      </w:pPr>
      <w:r>
        <w:rPr>
          <w:rFonts w:ascii="Cambria" w:hAnsi="Cambria"/>
        </w:rPr>
        <w:t xml:space="preserve">CNG Toplam Alım Miktarı </w:t>
      </w:r>
      <w:r w:rsidR="00F646AB">
        <w:rPr>
          <w:rFonts w:ascii="Calibri" w:hAnsi="Calibri" w:cs="Calibri"/>
          <w:b/>
          <w:bCs/>
          <w:color w:val="000000"/>
        </w:rPr>
        <w:t>620.280</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31F63" w:rsidRDefault="00F31F63" w:rsidP="00D7254C">
      <w:pPr>
        <w:snapToGrid w:val="0"/>
        <w:jc w:val="both"/>
        <w:rPr>
          <w:rFonts w:ascii="Cambria" w:hAnsi="Cambria"/>
        </w:rPr>
      </w:pPr>
    </w:p>
    <w:p w:rsidR="00F646AB" w:rsidRDefault="00F646AB" w:rsidP="00F646AB">
      <w:pPr>
        <w:spacing w:before="120" w:after="120"/>
        <w:jc w:val="both"/>
        <w:rPr>
          <w:rFonts w:asciiTheme="majorHAnsi" w:hAnsiTheme="majorHAnsi" w:cs="Tahoma"/>
          <w:b/>
          <w:sz w:val="22"/>
          <w:szCs w:val="22"/>
        </w:rPr>
      </w:pPr>
      <w:r>
        <w:rPr>
          <w:rFonts w:ascii="Cambria" w:hAnsi="Cambria" w:cstheme="minorHAnsi"/>
          <w:color w:val="000000"/>
          <w:sz w:val="22"/>
          <w:szCs w:val="22"/>
        </w:rPr>
        <w:t>Güzelyurt / Aksaray</w:t>
      </w:r>
    </w:p>
    <w:p w:rsidR="000E06AA" w:rsidRDefault="000E06AA" w:rsidP="00D7254C">
      <w:pPr>
        <w:snapToGrid w:val="0"/>
        <w:jc w:val="both"/>
        <w:rPr>
          <w:rFonts w:ascii="Cambria" w:hAnsi="Cambria"/>
        </w:rPr>
      </w:pPr>
      <w:r>
        <w:rPr>
          <w:rFonts w:ascii="Cambria" w:hAnsi="Cambria"/>
        </w:rPr>
        <w:t xml:space="preserve">CNG Toplam Alım Miktarı </w:t>
      </w:r>
      <w:r w:rsidR="00F646AB">
        <w:rPr>
          <w:rFonts w:ascii="Cambria" w:hAnsi="Cambria"/>
          <w:b/>
        </w:rPr>
        <w:t xml:space="preserve">510.320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F646AB" w:rsidRDefault="00F646AB" w:rsidP="00F646AB">
      <w:pPr>
        <w:spacing w:before="120" w:after="120"/>
        <w:jc w:val="both"/>
        <w:rPr>
          <w:rFonts w:asciiTheme="majorHAnsi" w:hAnsiTheme="majorHAnsi" w:cs="Tahoma"/>
          <w:b/>
          <w:sz w:val="22"/>
          <w:szCs w:val="22"/>
        </w:rPr>
      </w:pPr>
      <w:r>
        <w:rPr>
          <w:rFonts w:ascii="Cambria" w:hAnsi="Cambria" w:cstheme="minorHAnsi"/>
          <w:color w:val="000000"/>
          <w:sz w:val="22"/>
          <w:szCs w:val="22"/>
        </w:rPr>
        <w:t>Ağaçören / Aksaray</w:t>
      </w:r>
    </w:p>
    <w:p w:rsidR="00F646AB" w:rsidRDefault="00F646AB" w:rsidP="00F646AB">
      <w:pPr>
        <w:snapToGrid w:val="0"/>
        <w:jc w:val="both"/>
        <w:rPr>
          <w:rFonts w:ascii="Cambria" w:hAnsi="Cambria"/>
        </w:rPr>
      </w:pPr>
      <w:r>
        <w:rPr>
          <w:rFonts w:ascii="Cambria" w:hAnsi="Cambria"/>
        </w:rPr>
        <w:t xml:space="preserve">CNG Toplam Alım Miktarı </w:t>
      </w:r>
      <w:r>
        <w:rPr>
          <w:rFonts w:ascii="Calibri" w:hAnsi="Calibri" w:cs="Calibri"/>
          <w:b/>
          <w:bCs/>
          <w:color w:val="000000"/>
        </w:rPr>
        <w:t>510.103</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F646AB" w:rsidRPr="00F646AB" w:rsidRDefault="00F646AB" w:rsidP="00F646AB">
      <w:pPr>
        <w:spacing w:before="120" w:after="120"/>
        <w:jc w:val="both"/>
        <w:rPr>
          <w:rFonts w:ascii="Cambria" w:hAnsi="Cambria" w:cstheme="minorHAnsi"/>
          <w:color w:val="000000"/>
          <w:sz w:val="22"/>
          <w:szCs w:val="22"/>
        </w:rPr>
      </w:pPr>
      <w:r>
        <w:rPr>
          <w:rFonts w:ascii="Cambria" w:hAnsi="Cambria" w:cstheme="minorHAnsi"/>
          <w:color w:val="000000"/>
          <w:sz w:val="22"/>
          <w:szCs w:val="22"/>
        </w:rPr>
        <w:t>Sarıyahşi / Aksaray</w:t>
      </w:r>
    </w:p>
    <w:p w:rsidR="00F646AB" w:rsidRDefault="00F646AB" w:rsidP="00F646AB">
      <w:pPr>
        <w:snapToGrid w:val="0"/>
        <w:jc w:val="both"/>
        <w:rPr>
          <w:rFonts w:ascii="Cambria" w:hAnsi="Cambria"/>
        </w:rPr>
      </w:pPr>
      <w:r>
        <w:rPr>
          <w:rFonts w:ascii="Cambria" w:hAnsi="Cambria"/>
        </w:rPr>
        <w:t xml:space="preserve">CNG Toplam Alım Miktarı </w:t>
      </w:r>
      <w:r>
        <w:rPr>
          <w:rFonts w:ascii="Calibri" w:hAnsi="Calibri" w:cs="Calibri"/>
          <w:b/>
          <w:bCs/>
          <w:color w:val="000000"/>
        </w:rPr>
        <w:t>510.320</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14" w:rsidRDefault="00FF3714">
      <w:r>
        <w:separator/>
      </w:r>
    </w:p>
  </w:endnote>
  <w:endnote w:type="continuationSeparator" w:id="0">
    <w:p w:rsidR="00FF3714" w:rsidRDefault="00FF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5" w:name="aliashHeaderTagBlack2FooterEvenPages"/>
    <w:bookmarkEnd w:id="25"/>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14" w:rsidRDefault="00FF3714">
      <w:r>
        <w:separator/>
      </w:r>
    </w:p>
  </w:footnote>
  <w:footnote w:type="continuationSeparator" w:id="0">
    <w:p w:rsidR="00FF3714" w:rsidRDefault="00FF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4B6"/>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154"/>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5A6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2779"/>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073"/>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599"/>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1DE3"/>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99A"/>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1D0"/>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A28"/>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6AB"/>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714"/>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1AB28"/>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89410361">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15849857">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4555-725B-483E-8CAE-822E8468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3038</Words>
  <Characters>17321</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20319</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14</cp:revision>
  <cp:lastPrinted>2015-12-28T14:36:00Z</cp:lastPrinted>
  <dcterms:created xsi:type="dcterms:W3CDTF">2022-05-17T10:57:00Z</dcterms:created>
  <dcterms:modified xsi:type="dcterms:W3CDTF">2022-09-07T11:35:00Z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