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32C" w:rsidRDefault="005A432C">
      <w:pPr>
        <w:pStyle w:val="Balk1"/>
        <w:spacing w:before="78"/>
        <w:ind w:left="466" w:right="441" w:firstLine="139"/>
      </w:pPr>
    </w:p>
    <w:p w:rsidR="00C1625F" w:rsidRDefault="009766CB">
      <w:pPr>
        <w:pStyle w:val="Balk1"/>
        <w:spacing w:before="78"/>
        <w:ind w:left="466" w:right="441" w:firstLine="139"/>
      </w:pPr>
      <w:r>
        <w:t xml:space="preserve">ENERYA </w:t>
      </w:r>
      <w:r w:rsidR="00E00F83">
        <w:t>DENİZLİ</w:t>
      </w:r>
      <w:r>
        <w:t xml:space="preserve"> GAZ DAĞITIM A.Ş.’YE AİT LNG UYDU İSTASYON SAHALARINDAKİ LNG (SIVILAŞTIRILMIŞ DOĞAL GAZ) </w:t>
      </w:r>
      <w:r w:rsidR="00A1283F">
        <w:t xml:space="preserve">SATIN </w:t>
      </w:r>
      <w:r>
        <w:t>ALINMASI İŞİ TEKNİK ŞARTNAMESİ</w:t>
      </w:r>
    </w:p>
    <w:p w:rsidR="00C1625F" w:rsidRDefault="00C1625F">
      <w:pPr>
        <w:pStyle w:val="GvdeMetni"/>
        <w:spacing w:before="0"/>
        <w:ind w:left="0" w:firstLine="0"/>
        <w:jc w:val="left"/>
        <w:rPr>
          <w:b/>
          <w:sz w:val="26"/>
        </w:rPr>
      </w:pPr>
    </w:p>
    <w:p w:rsidR="00C1625F" w:rsidRDefault="009766CB">
      <w:pPr>
        <w:pStyle w:val="ListeParagraf"/>
        <w:numPr>
          <w:ilvl w:val="0"/>
          <w:numId w:val="1"/>
        </w:numPr>
        <w:tabs>
          <w:tab w:val="left" w:pos="543"/>
          <w:tab w:val="left" w:pos="544"/>
        </w:tabs>
        <w:spacing w:before="192"/>
        <w:ind w:hanging="429"/>
        <w:rPr>
          <w:b/>
        </w:rPr>
      </w:pPr>
      <w:r>
        <w:rPr>
          <w:b/>
        </w:rPr>
        <w:t>KAPSAM</w:t>
      </w:r>
    </w:p>
    <w:p w:rsidR="00C1625F" w:rsidRDefault="009766CB">
      <w:pPr>
        <w:pStyle w:val="GvdeMetni"/>
        <w:spacing w:before="1"/>
        <w:ind w:left="543" w:right="109" w:firstLine="0"/>
      </w:pPr>
      <w:r>
        <w:t xml:space="preserve">Bu Teknik Şartname; Enerya </w:t>
      </w:r>
      <w:r w:rsidR="00E00F83">
        <w:t>Denizli</w:t>
      </w:r>
      <w:r>
        <w:t xml:space="preserve"> Gaz Dağıtım A.Ş.’nin (bundan böyle ENERYA olarak anılacaktır) doğal gaz dağıtım lisansı kapsamında, teslim noktası </w:t>
      </w:r>
      <w:r w:rsidR="00A700A2">
        <w:rPr>
          <w:color w:val="000000" w:themeColor="text1"/>
        </w:rPr>
        <w:t>Karahayıt</w:t>
      </w:r>
      <w:r w:rsidR="00FB6C9A" w:rsidRPr="00731318">
        <w:rPr>
          <w:color w:val="000000" w:themeColor="text1"/>
        </w:rPr>
        <w:t xml:space="preserve"> </w:t>
      </w:r>
      <w:r w:rsidR="009C78A2">
        <w:t>şehri</w:t>
      </w:r>
      <w:r>
        <w:t xml:space="preserve"> için, </w:t>
      </w:r>
      <w:r w:rsidR="00A700A2">
        <w:t xml:space="preserve">inşaat işleri hariç, LNG Tesisinin boşaltma, depolama ve gazlaştırma ünitelerinin kurulması, çalışır hale getirilmesi, </w:t>
      </w:r>
      <w:r>
        <w:t>miktarları belirtilen LNG (Sıvılaştırılmış Doğal Gaz)’nin ENERYA’nın belirleyeceği takvime göre temin</w:t>
      </w:r>
      <w:r w:rsidR="00316666">
        <w:t xml:space="preserve"> ve sevk</w:t>
      </w:r>
      <w:r>
        <w:t xml:space="preserve"> edilmesi işlerini kapsamaktadır.</w:t>
      </w:r>
    </w:p>
    <w:p w:rsidR="00C1625F" w:rsidRDefault="00C1625F">
      <w:pPr>
        <w:pStyle w:val="GvdeMetni"/>
        <w:spacing w:before="7"/>
        <w:ind w:left="0" w:firstLine="0"/>
        <w:jc w:val="left"/>
        <w:rPr>
          <w:b/>
          <w:sz w:val="23"/>
        </w:rPr>
      </w:pPr>
    </w:p>
    <w:p w:rsidR="00C1625F" w:rsidRDefault="009766CB">
      <w:pPr>
        <w:pStyle w:val="ListeParagraf"/>
        <w:numPr>
          <w:ilvl w:val="0"/>
          <w:numId w:val="1"/>
        </w:numPr>
        <w:tabs>
          <w:tab w:val="left" w:pos="543"/>
          <w:tab w:val="left" w:pos="544"/>
        </w:tabs>
        <w:spacing w:before="101" w:line="256" w:lineRule="exact"/>
        <w:ind w:hanging="429"/>
        <w:rPr>
          <w:b/>
        </w:rPr>
      </w:pPr>
      <w:r>
        <w:rPr>
          <w:b/>
        </w:rPr>
        <w:t>İŞİN</w:t>
      </w:r>
      <w:r>
        <w:rPr>
          <w:b/>
          <w:spacing w:val="-3"/>
        </w:rPr>
        <w:t xml:space="preserve"> </w:t>
      </w:r>
      <w:r>
        <w:rPr>
          <w:b/>
        </w:rPr>
        <w:t>TANIMI</w:t>
      </w:r>
    </w:p>
    <w:p w:rsidR="00C1625F" w:rsidRDefault="00E00F83">
      <w:pPr>
        <w:pStyle w:val="GvdeMetni"/>
        <w:spacing w:before="0"/>
        <w:ind w:left="543" w:right="109" w:firstLine="0"/>
      </w:pPr>
      <w:r>
        <w:t>Denizli Karahayıt ilçesine</w:t>
      </w:r>
      <w:r w:rsidR="00B237E8">
        <w:t>,</w:t>
      </w:r>
      <w:r>
        <w:t xml:space="preserve"> </w:t>
      </w:r>
      <w:r w:rsidR="009766CB">
        <w:t xml:space="preserve">Teknik standartlara </w:t>
      </w:r>
      <w:r w:rsidR="00D67E46">
        <w:t>ve Enerya Teknik Şartnamesinin 4.7 Maddesine</w:t>
      </w:r>
      <w:bookmarkStart w:id="0" w:name="_GoBack"/>
      <w:bookmarkEnd w:id="0"/>
      <w:r>
        <w:t xml:space="preserve"> </w:t>
      </w:r>
      <w:r w:rsidR="009766CB">
        <w:t xml:space="preserve">uygun </w:t>
      </w:r>
      <w:r w:rsidR="00B237E8">
        <w:t>LNG boşaltma</w:t>
      </w:r>
      <w:r>
        <w:t xml:space="preserve">, depolama ve gazlaştırma tesisinin </w:t>
      </w:r>
      <w:r w:rsidR="00B237E8">
        <w:t>kurulması</w:t>
      </w:r>
      <w:r w:rsidR="009766CB">
        <w:t>,</w:t>
      </w:r>
      <w:r w:rsidR="00B237E8">
        <w:t xml:space="preserve"> çalışır hale getirilmesi,</w:t>
      </w:r>
      <w:r w:rsidR="009766CB">
        <w:t xml:space="preserve"> EPDK tarafından görevlendirilmiş </w:t>
      </w:r>
      <w:r w:rsidR="00B237E8">
        <w:t xml:space="preserve">bir </w:t>
      </w:r>
      <w:r w:rsidR="009766CB">
        <w:t>Müşavir Firma</w:t>
      </w:r>
      <w:r w:rsidR="009766CB">
        <w:rPr>
          <w:spacing w:val="-5"/>
        </w:rPr>
        <w:t xml:space="preserve"> </w:t>
      </w:r>
      <w:r w:rsidR="009766CB">
        <w:t>tarafından</w:t>
      </w:r>
      <w:r w:rsidR="009766CB">
        <w:rPr>
          <w:spacing w:val="-6"/>
        </w:rPr>
        <w:t xml:space="preserve"> </w:t>
      </w:r>
      <w:r>
        <w:t>onaylanması</w:t>
      </w:r>
      <w:r w:rsidR="00A700A2">
        <w:t xml:space="preserve"> ve söz konusu</w:t>
      </w:r>
      <w:r w:rsidR="009766CB">
        <w:rPr>
          <w:spacing w:val="-5"/>
        </w:rPr>
        <w:t xml:space="preserve"> </w:t>
      </w:r>
      <w:r w:rsidR="009766CB">
        <w:t>LNG</w:t>
      </w:r>
      <w:r w:rsidR="009766CB">
        <w:rPr>
          <w:spacing w:val="-8"/>
        </w:rPr>
        <w:t xml:space="preserve"> </w:t>
      </w:r>
      <w:r w:rsidR="00A700A2">
        <w:t>Uydu İstasyonuna</w:t>
      </w:r>
      <w:r w:rsidR="007E22A5">
        <w:t xml:space="preserve"> </w:t>
      </w:r>
      <w:r w:rsidR="007E22A5" w:rsidRPr="00B270DE">
        <w:t>20</w:t>
      </w:r>
      <w:r w:rsidR="00E33B43">
        <w:t>2</w:t>
      </w:r>
      <w:r>
        <w:t>6</w:t>
      </w:r>
      <w:r w:rsidR="009766CB" w:rsidRPr="00B270DE">
        <w:t xml:space="preserve"> </w:t>
      </w:r>
      <w:r>
        <w:t>Ekim- 2030</w:t>
      </w:r>
      <w:r w:rsidR="009766CB" w:rsidRPr="00B270DE">
        <w:t xml:space="preserve"> </w:t>
      </w:r>
      <w:r>
        <w:t>Eylül</w:t>
      </w:r>
      <w:r w:rsidR="009766CB" w:rsidRPr="00B270DE">
        <w:t xml:space="preserve"> </w:t>
      </w:r>
      <w:r w:rsidR="009766CB">
        <w:t>dönemlerini kapsayan, LNG alım</w:t>
      </w:r>
      <w:r w:rsidR="009766CB">
        <w:rPr>
          <w:spacing w:val="-16"/>
        </w:rPr>
        <w:t xml:space="preserve"> </w:t>
      </w:r>
      <w:r w:rsidR="009766CB">
        <w:t>işidir.</w:t>
      </w:r>
    </w:p>
    <w:p w:rsidR="00C1625F" w:rsidRDefault="00C1625F">
      <w:pPr>
        <w:pStyle w:val="GvdeMetni"/>
        <w:spacing w:before="10"/>
        <w:ind w:left="0" w:firstLine="0"/>
        <w:jc w:val="left"/>
        <w:rPr>
          <w:sz w:val="21"/>
        </w:rPr>
      </w:pPr>
    </w:p>
    <w:p w:rsidR="00C1625F" w:rsidRDefault="009766CB">
      <w:pPr>
        <w:pStyle w:val="Balk1"/>
        <w:numPr>
          <w:ilvl w:val="0"/>
          <w:numId w:val="1"/>
        </w:numPr>
        <w:tabs>
          <w:tab w:val="left" w:pos="543"/>
          <w:tab w:val="left" w:pos="544"/>
        </w:tabs>
        <w:spacing w:before="0"/>
        <w:ind w:hanging="429"/>
      </w:pPr>
      <w:r>
        <w:t>SATIN ALINACAK</w:t>
      </w:r>
      <w:r>
        <w:rPr>
          <w:spacing w:val="-5"/>
        </w:rPr>
        <w:t xml:space="preserve"> </w:t>
      </w:r>
      <w:r>
        <w:t>MİKTAR</w:t>
      </w:r>
    </w:p>
    <w:p w:rsidR="00A044F1" w:rsidRDefault="00A044F1" w:rsidP="00A044F1">
      <w:pPr>
        <w:pStyle w:val="Balk1"/>
        <w:tabs>
          <w:tab w:val="left" w:pos="543"/>
          <w:tab w:val="left" w:pos="544"/>
        </w:tabs>
        <w:spacing w:before="0"/>
        <w:ind w:firstLine="0"/>
      </w:pPr>
    </w:p>
    <w:p w:rsidR="001277FB" w:rsidRDefault="001277FB" w:rsidP="001277FB">
      <w:pPr>
        <w:rPr>
          <w:rFonts w:ascii="Calibri" w:eastAsiaTheme="minorHAnsi" w:hAnsi="Calibri" w:cs="Calibri"/>
          <w:color w:val="1F497D"/>
        </w:rPr>
      </w:pPr>
    </w:p>
    <w:tbl>
      <w:tblPr>
        <w:tblW w:w="3704" w:type="dxa"/>
        <w:tblInd w:w="670" w:type="dxa"/>
        <w:tblCellMar>
          <w:left w:w="0" w:type="dxa"/>
          <w:right w:w="0" w:type="dxa"/>
        </w:tblCellMar>
        <w:tblLook w:val="04A0" w:firstRow="1" w:lastRow="0" w:firstColumn="1" w:lastColumn="0" w:noHBand="0" w:noVBand="1"/>
      </w:tblPr>
      <w:tblGrid>
        <w:gridCol w:w="1153"/>
        <w:gridCol w:w="2071"/>
        <w:gridCol w:w="170"/>
        <w:gridCol w:w="242"/>
        <w:gridCol w:w="68"/>
      </w:tblGrid>
      <w:tr w:rsidR="00E00F83" w:rsidTr="00FD2446">
        <w:trPr>
          <w:trHeight w:val="312"/>
        </w:trPr>
        <w:tc>
          <w:tcPr>
            <w:tcW w:w="1153" w:type="dxa"/>
            <w:vMerge w:val="restart"/>
            <w:tcBorders>
              <w:top w:val="single" w:sz="8" w:space="0" w:color="auto"/>
              <w:left w:val="single" w:sz="8" w:space="0" w:color="auto"/>
              <w:bottom w:val="single" w:sz="8" w:space="0" w:color="000000"/>
              <w:right w:val="single" w:sz="8" w:space="0" w:color="auto"/>
            </w:tcBorders>
            <w:noWrap/>
            <w:tcMar>
              <w:top w:w="0" w:type="dxa"/>
              <w:left w:w="70" w:type="dxa"/>
              <w:bottom w:w="0" w:type="dxa"/>
              <w:right w:w="70" w:type="dxa"/>
            </w:tcMar>
            <w:vAlign w:val="center"/>
            <w:hideMark/>
          </w:tcPr>
          <w:p w:rsidR="00E00F83" w:rsidRDefault="00E00F83" w:rsidP="00FD2446">
            <w:pPr>
              <w:jc w:val="center"/>
              <w:rPr>
                <w:b/>
                <w:bCs/>
                <w:color w:val="000000"/>
                <w:sz w:val="24"/>
                <w:szCs w:val="24"/>
                <w:lang w:eastAsia="tr-TR"/>
              </w:rPr>
            </w:pPr>
            <w:r>
              <w:rPr>
                <w:b/>
                <w:bCs/>
                <w:color w:val="000000"/>
                <w:sz w:val="24"/>
                <w:szCs w:val="24"/>
                <w:lang w:eastAsia="tr-TR"/>
              </w:rPr>
              <w:t>YIL</w:t>
            </w:r>
          </w:p>
        </w:tc>
        <w:tc>
          <w:tcPr>
            <w:tcW w:w="2241" w:type="dxa"/>
            <w:gridSpan w:val="2"/>
            <w:vMerge w:val="restart"/>
            <w:tcBorders>
              <w:top w:val="single" w:sz="8" w:space="0" w:color="auto"/>
              <w:left w:val="nil"/>
              <w:bottom w:val="single" w:sz="8" w:space="0" w:color="000000"/>
              <w:right w:val="single" w:sz="8" w:space="0" w:color="auto"/>
            </w:tcBorders>
            <w:tcMar>
              <w:top w:w="0" w:type="dxa"/>
              <w:left w:w="70" w:type="dxa"/>
              <w:bottom w:w="0" w:type="dxa"/>
              <w:right w:w="70" w:type="dxa"/>
            </w:tcMar>
            <w:vAlign w:val="center"/>
            <w:hideMark/>
          </w:tcPr>
          <w:p w:rsidR="00E00F83" w:rsidRDefault="00E00F83" w:rsidP="00FD2446">
            <w:pPr>
              <w:jc w:val="center"/>
              <w:rPr>
                <w:rFonts w:ascii="Times New Roman" w:hAnsi="Times New Roman" w:cs="Times New Roman"/>
                <w:b/>
                <w:bCs/>
                <w:color w:val="000000"/>
                <w:sz w:val="24"/>
                <w:szCs w:val="24"/>
                <w:lang w:eastAsia="tr-TR"/>
              </w:rPr>
            </w:pPr>
            <w:r>
              <w:rPr>
                <w:rFonts w:ascii="Times New Roman" w:hAnsi="Times New Roman" w:cs="Times New Roman"/>
                <w:b/>
                <w:bCs/>
                <w:color w:val="000000"/>
                <w:sz w:val="24"/>
                <w:szCs w:val="24"/>
                <w:lang w:eastAsia="tr-TR"/>
              </w:rPr>
              <w:t>KARAHAYIT</w:t>
            </w:r>
          </w:p>
        </w:tc>
        <w:tc>
          <w:tcPr>
            <w:tcW w:w="310" w:type="dxa"/>
            <w:gridSpan w:val="2"/>
            <w:vAlign w:val="center"/>
            <w:hideMark/>
          </w:tcPr>
          <w:p w:rsidR="00E00F83" w:rsidRDefault="00E00F83" w:rsidP="00FD2446">
            <w:pPr>
              <w:rPr>
                <w:rFonts w:ascii="Times New Roman" w:hAnsi="Times New Roman" w:cs="Times New Roman"/>
                <w:b/>
                <w:bCs/>
                <w:color w:val="000000"/>
                <w:sz w:val="24"/>
                <w:szCs w:val="24"/>
                <w:lang w:eastAsia="tr-TR"/>
              </w:rPr>
            </w:pPr>
          </w:p>
        </w:tc>
      </w:tr>
      <w:tr w:rsidR="00E00F83" w:rsidTr="00FD2446">
        <w:trPr>
          <w:trHeight w:val="324"/>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E00F83" w:rsidRDefault="00E00F83" w:rsidP="00FD2446">
            <w:pPr>
              <w:rPr>
                <w:rFonts w:ascii="Calibri" w:eastAsiaTheme="minorHAnsi" w:hAnsi="Calibri" w:cs="Calibri"/>
                <w:b/>
                <w:bCs/>
                <w:color w:val="000000"/>
                <w:sz w:val="24"/>
                <w:szCs w:val="24"/>
                <w:lang w:eastAsia="tr-TR"/>
              </w:rPr>
            </w:pPr>
          </w:p>
        </w:tc>
        <w:tc>
          <w:tcPr>
            <w:tcW w:w="2241" w:type="dxa"/>
            <w:gridSpan w:val="2"/>
            <w:vMerge/>
            <w:tcBorders>
              <w:top w:val="single" w:sz="8" w:space="0" w:color="auto"/>
              <w:left w:val="nil"/>
              <w:bottom w:val="single" w:sz="8" w:space="0" w:color="000000"/>
              <w:right w:val="single" w:sz="8" w:space="0" w:color="auto"/>
            </w:tcBorders>
            <w:vAlign w:val="center"/>
            <w:hideMark/>
          </w:tcPr>
          <w:p w:rsidR="00E00F83" w:rsidRDefault="00E00F83" w:rsidP="00FD2446">
            <w:pPr>
              <w:rPr>
                <w:rFonts w:ascii="Times New Roman" w:eastAsiaTheme="minorHAnsi" w:hAnsi="Times New Roman" w:cs="Times New Roman"/>
                <w:b/>
                <w:bCs/>
                <w:color w:val="000000"/>
                <w:sz w:val="24"/>
                <w:szCs w:val="24"/>
                <w:lang w:eastAsia="tr-TR"/>
              </w:rPr>
            </w:pPr>
          </w:p>
        </w:tc>
        <w:tc>
          <w:tcPr>
            <w:tcW w:w="310" w:type="dxa"/>
            <w:gridSpan w:val="2"/>
            <w:vAlign w:val="center"/>
            <w:hideMark/>
          </w:tcPr>
          <w:p w:rsidR="00E00F83" w:rsidRDefault="00E00F83" w:rsidP="00FD2446">
            <w:pPr>
              <w:rPr>
                <w:rFonts w:ascii="Times New Roman" w:eastAsia="Times New Roman" w:hAnsi="Times New Roman" w:cs="Times New Roman"/>
                <w:sz w:val="20"/>
                <w:szCs w:val="20"/>
                <w:lang w:eastAsia="tr-TR"/>
              </w:rPr>
            </w:pPr>
          </w:p>
        </w:tc>
      </w:tr>
      <w:tr w:rsidR="00E00F83" w:rsidTr="00FD2446">
        <w:trPr>
          <w:trHeight w:val="324"/>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E00F83" w:rsidRDefault="00E00F83" w:rsidP="00FD2446">
            <w:pPr>
              <w:rPr>
                <w:rFonts w:ascii="Calibri" w:eastAsiaTheme="minorHAnsi" w:hAnsi="Calibri" w:cs="Calibri"/>
                <w:b/>
                <w:bCs/>
                <w:color w:val="000000"/>
                <w:sz w:val="24"/>
                <w:szCs w:val="24"/>
                <w:lang w:eastAsia="tr-TR"/>
              </w:rPr>
            </w:pPr>
          </w:p>
        </w:tc>
        <w:tc>
          <w:tcPr>
            <w:tcW w:w="2241"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rsidR="00E00F83" w:rsidRDefault="00E00F83" w:rsidP="00FD2446">
            <w:pPr>
              <w:jc w:val="center"/>
              <w:rPr>
                <w:rFonts w:ascii="Times New Roman" w:eastAsiaTheme="minorHAnsi" w:hAnsi="Times New Roman" w:cs="Times New Roman"/>
                <w:b/>
                <w:bCs/>
                <w:color w:val="000000"/>
                <w:sz w:val="24"/>
                <w:szCs w:val="24"/>
                <w:lang w:eastAsia="tr-TR"/>
              </w:rPr>
            </w:pPr>
            <w:r>
              <w:rPr>
                <w:rFonts w:ascii="Times New Roman" w:hAnsi="Times New Roman" w:cs="Times New Roman"/>
                <w:b/>
                <w:bCs/>
                <w:color w:val="000000"/>
                <w:sz w:val="24"/>
                <w:szCs w:val="24"/>
                <w:lang w:eastAsia="tr-TR"/>
              </w:rPr>
              <w:t>MİKTAR kWh</w:t>
            </w:r>
          </w:p>
        </w:tc>
        <w:tc>
          <w:tcPr>
            <w:tcW w:w="310" w:type="dxa"/>
            <w:gridSpan w:val="2"/>
            <w:vAlign w:val="center"/>
            <w:hideMark/>
          </w:tcPr>
          <w:p w:rsidR="00E00F83" w:rsidRDefault="00E00F83" w:rsidP="00FD2446">
            <w:pPr>
              <w:rPr>
                <w:rFonts w:ascii="Times New Roman" w:hAnsi="Times New Roman" w:cs="Times New Roman"/>
                <w:b/>
                <w:bCs/>
                <w:color w:val="000000"/>
                <w:sz w:val="24"/>
                <w:szCs w:val="24"/>
                <w:lang w:eastAsia="tr-TR"/>
              </w:rPr>
            </w:pPr>
          </w:p>
        </w:tc>
      </w:tr>
      <w:tr w:rsidR="00E00F83" w:rsidTr="00FD2446">
        <w:trPr>
          <w:gridAfter w:val="1"/>
          <w:wAfter w:w="68" w:type="dxa"/>
          <w:trHeight w:val="324"/>
        </w:trPr>
        <w:tc>
          <w:tcPr>
            <w:tcW w:w="1153"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E00F83" w:rsidRDefault="00E00F83" w:rsidP="00FD2446">
            <w:pPr>
              <w:jc w:val="center"/>
              <w:rPr>
                <w:rFonts w:ascii="Calibri" w:eastAsiaTheme="minorHAnsi" w:hAnsi="Calibri" w:cs="Calibri"/>
                <w:b/>
                <w:bCs/>
                <w:color w:val="000000"/>
                <w:sz w:val="24"/>
                <w:szCs w:val="24"/>
                <w:lang w:eastAsia="tr-TR"/>
              </w:rPr>
            </w:pPr>
            <w:r>
              <w:rPr>
                <w:b/>
                <w:bCs/>
                <w:color w:val="000000"/>
                <w:sz w:val="24"/>
                <w:szCs w:val="24"/>
                <w:lang w:eastAsia="tr-TR"/>
              </w:rPr>
              <w:t>2026</w:t>
            </w:r>
          </w:p>
        </w:tc>
        <w:tc>
          <w:tcPr>
            <w:tcW w:w="2241"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rsidR="00E00F83" w:rsidRDefault="00E00F83" w:rsidP="00FD2446">
            <w:pPr>
              <w:jc w:val="center"/>
              <w:rPr>
                <w:color w:val="FF0000"/>
                <w:sz w:val="24"/>
                <w:szCs w:val="24"/>
                <w:lang w:eastAsia="tr-TR"/>
              </w:rPr>
            </w:pPr>
            <w:r>
              <w:rPr>
                <w:color w:val="FF0000"/>
                <w:sz w:val="24"/>
                <w:szCs w:val="24"/>
                <w:lang w:eastAsia="tr-TR"/>
              </w:rPr>
              <w:t>1.064.000</w:t>
            </w:r>
          </w:p>
        </w:tc>
        <w:tc>
          <w:tcPr>
            <w:tcW w:w="242" w:type="dxa"/>
            <w:vAlign w:val="center"/>
            <w:hideMark/>
          </w:tcPr>
          <w:p w:rsidR="00E00F83" w:rsidRDefault="00E00F83" w:rsidP="00FD2446">
            <w:pPr>
              <w:rPr>
                <w:color w:val="FF0000"/>
                <w:sz w:val="24"/>
                <w:szCs w:val="24"/>
                <w:lang w:eastAsia="tr-TR"/>
              </w:rPr>
            </w:pPr>
          </w:p>
        </w:tc>
      </w:tr>
      <w:tr w:rsidR="00E00F83" w:rsidTr="00FD2446">
        <w:trPr>
          <w:gridAfter w:val="1"/>
          <w:wAfter w:w="68" w:type="dxa"/>
          <w:trHeight w:val="324"/>
        </w:trPr>
        <w:tc>
          <w:tcPr>
            <w:tcW w:w="1153"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E00F83" w:rsidRDefault="00E00F83" w:rsidP="00FD2446">
            <w:pPr>
              <w:jc w:val="center"/>
              <w:rPr>
                <w:rFonts w:ascii="Calibri" w:eastAsiaTheme="minorHAnsi" w:hAnsi="Calibri" w:cs="Calibri"/>
                <w:b/>
                <w:bCs/>
                <w:color w:val="000000"/>
                <w:sz w:val="24"/>
                <w:szCs w:val="24"/>
                <w:lang w:eastAsia="tr-TR"/>
              </w:rPr>
            </w:pPr>
            <w:r>
              <w:rPr>
                <w:b/>
                <w:bCs/>
                <w:color w:val="000000"/>
                <w:sz w:val="24"/>
                <w:szCs w:val="24"/>
                <w:lang w:eastAsia="tr-TR"/>
              </w:rPr>
              <w:t>2027</w:t>
            </w:r>
          </w:p>
        </w:tc>
        <w:tc>
          <w:tcPr>
            <w:tcW w:w="2241"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rsidR="00E00F83" w:rsidRDefault="00E00F83" w:rsidP="00FD2446">
            <w:pPr>
              <w:jc w:val="center"/>
              <w:rPr>
                <w:color w:val="FF0000"/>
                <w:sz w:val="24"/>
                <w:szCs w:val="24"/>
                <w:lang w:eastAsia="tr-TR"/>
              </w:rPr>
            </w:pPr>
            <w:r>
              <w:rPr>
                <w:color w:val="FF0000"/>
                <w:sz w:val="24"/>
                <w:szCs w:val="24"/>
                <w:lang w:eastAsia="tr-TR"/>
              </w:rPr>
              <w:t>42.560.000</w:t>
            </w:r>
          </w:p>
        </w:tc>
        <w:tc>
          <w:tcPr>
            <w:tcW w:w="242" w:type="dxa"/>
            <w:vAlign w:val="center"/>
            <w:hideMark/>
          </w:tcPr>
          <w:p w:rsidR="00E00F83" w:rsidRDefault="00E00F83" w:rsidP="00FD2446">
            <w:pPr>
              <w:rPr>
                <w:color w:val="FF0000"/>
                <w:sz w:val="24"/>
                <w:szCs w:val="24"/>
                <w:lang w:eastAsia="tr-TR"/>
              </w:rPr>
            </w:pPr>
          </w:p>
        </w:tc>
      </w:tr>
      <w:tr w:rsidR="00E00F83" w:rsidTr="00FD2446">
        <w:trPr>
          <w:gridAfter w:val="1"/>
          <w:wAfter w:w="68" w:type="dxa"/>
          <w:trHeight w:val="324"/>
        </w:trPr>
        <w:tc>
          <w:tcPr>
            <w:tcW w:w="1153"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E00F83" w:rsidRDefault="00E00F83" w:rsidP="00FD2446">
            <w:pPr>
              <w:jc w:val="center"/>
              <w:rPr>
                <w:rFonts w:ascii="Calibri" w:eastAsiaTheme="minorHAnsi" w:hAnsi="Calibri" w:cs="Calibri"/>
                <w:b/>
                <w:bCs/>
                <w:color w:val="000000"/>
                <w:sz w:val="24"/>
                <w:szCs w:val="24"/>
                <w:lang w:eastAsia="tr-TR"/>
              </w:rPr>
            </w:pPr>
            <w:r>
              <w:rPr>
                <w:b/>
                <w:bCs/>
                <w:color w:val="000000"/>
                <w:sz w:val="24"/>
                <w:szCs w:val="24"/>
                <w:lang w:eastAsia="tr-TR"/>
              </w:rPr>
              <w:t>2028</w:t>
            </w:r>
          </w:p>
        </w:tc>
        <w:tc>
          <w:tcPr>
            <w:tcW w:w="2241"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rsidR="00E00F83" w:rsidRDefault="00E00F83" w:rsidP="00FD2446">
            <w:pPr>
              <w:jc w:val="center"/>
              <w:rPr>
                <w:color w:val="FF0000"/>
                <w:sz w:val="24"/>
                <w:szCs w:val="24"/>
                <w:lang w:eastAsia="tr-TR"/>
              </w:rPr>
            </w:pPr>
            <w:r>
              <w:rPr>
                <w:color w:val="FF0000"/>
                <w:sz w:val="24"/>
                <w:szCs w:val="24"/>
                <w:lang w:eastAsia="tr-TR"/>
              </w:rPr>
              <w:t>42.560.000</w:t>
            </w:r>
          </w:p>
        </w:tc>
        <w:tc>
          <w:tcPr>
            <w:tcW w:w="242" w:type="dxa"/>
            <w:vAlign w:val="center"/>
            <w:hideMark/>
          </w:tcPr>
          <w:p w:rsidR="00E00F83" w:rsidRDefault="00E00F83" w:rsidP="00FD2446">
            <w:pPr>
              <w:rPr>
                <w:color w:val="FF0000"/>
                <w:sz w:val="24"/>
                <w:szCs w:val="24"/>
                <w:lang w:eastAsia="tr-TR"/>
              </w:rPr>
            </w:pPr>
          </w:p>
        </w:tc>
      </w:tr>
      <w:tr w:rsidR="00E00F83" w:rsidTr="00FD2446">
        <w:trPr>
          <w:gridAfter w:val="1"/>
          <w:wAfter w:w="68" w:type="dxa"/>
          <w:trHeight w:val="324"/>
        </w:trPr>
        <w:tc>
          <w:tcPr>
            <w:tcW w:w="1153"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E00F83" w:rsidRDefault="00E00F83" w:rsidP="00FD2446">
            <w:pPr>
              <w:jc w:val="center"/>
              <w:rPr>
                <w:rFonts w:ascii="Calibri" w:eastAsiaTheme="minorHAnsi" w:hAnsi="Calibri" w:cs="Calibri"/>
                <w:b/>
                <w:bCs/>
                <w:color w:val="000000"/>
                <w:sz w:val="24"/>
                <w:szCs w:val="24"/>
                <w:lang w:eastAsia="tr-TR"/>
              </w:rPr>
            </w:pPr>
            <w:r>
              <w:rPr>
                <w:b/>
                <w:bCs/>
                <w:color w:val="000000"/>
                <w:sz w:val="24"/>
                <w:szCs w:val="24"/>
                <w:lang w:eastAsia="tr-TR"/>
              </w:rPr>
              <w:t>2029</w:t>
            </w:r>
          </w:p>
        </w:tc>
        <w:tc>
          <w:tcPr>
            <w:tcW w:w="2241"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rsidR="00E00F83" w:rsidRDefault="00E00F83" w:rsidP="00FD2446">
            <w:pPr>
              <w:jc w:val="center"/>
              <w:rPr>
                <w:color w:val="FF0000"/>
                <w:sz w:val="24"/>
                <w:szCs w:val="24"/>
                <w:lang w:eastAsia="tr-TR"/>
              </w:rPr>
            </w:pPr>
            <w:r>
              <w:rPr>
                <w:color w:val="FF0000"/>
                <w:sz w:val="24"/>
                <w:szCs w:val="24"/>
                <w:lang w:eastAsia="tr-TR"/>
              </w:rPr>
              <w:t>47.880.000</w:t>
            </w:r>
          </w:p>
        </w:tc>
        <w:tc>
          <w:tcPr>
            <w:tcW w:w="242" w:type="dxa"/>
            <w:vAlign w:val="center"/>
            <w:hideMark/>
          </w:tcPr>
          <w:p w:rsidR="00E00F83" w:rsidRDefault="00E00F83" w:rsidP="00FD2446">
            <w:pPr>
              <w:rPr>
                <w:color w:val="FF0000"/>
                <w:sz w:val="24"/>
                <w:szCs w:val="24"/>
                <w:lang w:eastAsia="tr-TR"/>
              </w:rPr>
            </w:pPr>
          </w:p>
        </w:tc>
      </w:tr>
      <w:tr w:rsidR="00E00F83" w:rsidTr="00FD2446">
        <w:trPr>
          <w:gridAfter w:val="1"/>
          <w:wAfter w:w="68" w:type="dxa"/>
          <w:trHeight w:val="324"/>
        </w:trPr>
        <w:tc>
          <w:tcPr>
            <w:tcW w:w="1153"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E00F83" w:rsidRDefault="00E00F83" w:rsidP="00FD2446">
            <w:pPr>
              <w:jc w:val="center"/>
              <w:rPr>
                <w:rFonts w:ascii="Calibri" w:eastAsiaTheme="minorHAnsi" w:hAnsi="Calibri" w:cs="Calibri"/>
                <w:b/>
                <w:bCs/>
                <w:color w:val="000000"/>
                <w:sz w:val="24"/>
                <w:szCs w:val="24"/>
                <w:lang w:eastAsia="tr-TR"/>
              </w:rPr>
            </w:pPr>
            <w:r>
              <w:rPr>
                <w:b/>
                <w:bCs/>
                <w:color w:val="000000"/>
                <w:sz w:val="24"/>
                <w:szCs w:val="24"/>
                <w:lang w:eastAsia="tr-TR"/>
              </w:rPr>
              <w:t>2030</w:t>
            </w:r>
          </w:p>
        </w:tc>
        <w:tc>
          <w:tcPr>
            <w:tcW w:w="2241"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rsidR="00E00F83" w:rsidRDefault="00E00F83" w:rsidP="00FD2446">
            <w:pPr>
              <w:jc w:val="center"/>
              <w:rPr>
                <w:color w:val="FF0000"/>
                <w:sz w:val="24"/>
                <w:szCs w:val="24"/>
                <w:lang w:eastAsia="tr-TR"/>
              </w:rPr>
            </w:pPr>
            <w:r>
              <w:rPr>
                <w:color w:val="FF0000"/>
                <w:sz w:val="24"/>
                <w:szCs w:val="24"/>
                <w:lang w:eastAsia="tr-TR"/>
              </w:rPr>
              <w:t>47.880.000</w:t>
            </w:r>
          </w:p>
        </w:tc>
        <w:tc>
          <w:tcPr>
            <w:tcW w:w="242" w:type="dxa"/>
            <w:vAlign w:val="center"/>
            <w:hideMark/>
          </w:tcPr>
          <w:p w:rsidR="00E00F83" w:rsidRDefault="00E00F83" w:rsidP="00FD2446">
            <w:pPr>
              <w:rPr>
                <w:color w:val="FF0000"/>
                <w:sz w:val="24"/>
                <w:szCs w:val="24"/>
                <w:lang w:eastAsia="tr-TR"/>
              </w:rPr>
            </w:pPr>
          </w:p>
        </w:tc>
      </w:tr>
      <w:tr w:rsidR="00E00F83" w:rsidTr="00FD2446">
        <w:trPr>
          <w:gridAfter w:val="2"/>
          <w:wAfter w:w="310" w:type="dxa"/>
          <w:trHeight w:val="324"/>
        </w:trPr>
        <w:tc>
          <w:tcPr>
            <w:tcW w:w="1153" w:type="dxa"/>
            <w:tcBorders>
              <w:top w:val="nil"/>
              <w:left w:val="single" w:sz="8" w:space="0" w:color="auto"/>
              <w:bottom w:val="single" w:sz="8" w:space="0" w:color="auto"/>
              <w:right w:val="single" w:sz="8" w:space="0" w:color="auto"/>
            </w:tcBorders>
            <w:shd w:val="clear" w:color="auto" w:fill="DDEBF7"/>
            <w:noWrap/>
            <w:tcMar>
              <w:top w:w="0" w:type="dxa"/>
              <w:left w:w="70" w:type="dxa"/>
              <w:bottom w:w="0" w:type="dxa"/>
              <w:right w:w="70" w:type="dxa"/>
            </w:tcMar>
            <w:vAlign w:val="center"/>
            <w:hideMark/>
          </w:tcPr>
          <w:p w:rsidR="00E00F83" w:rsidRDefault="00E00F83" w:rsidP="00FD2446">
            <w:pPr>
              <w:jc w:val="center"/>
              <w:rPr>
                <w:rFonts w:ascii="Calibri" w:eastAsiaTheme="minorHAnsi" w:hAnsi="Calibri" w:cs="Calibri"/>
                <w:b/>
                <w:bCs/>
                <w:color w:val="000000"/>
                <w:sz w:val="24"/>
                <w:szCs w:val="24"/>
                <w:lang w:eastAsia="tr-TR"/>
              </w:rPr>
            </w:pPr>
            <w:r>
              <w:rPr>
                <w:b/>
                <w:bCs/>
                <w:color w:val="000000"/>
                <w:sz w:val="24"/>
                <w:szCs w:val="24"/>
                <w:lang w:eastAsia="tr-TR"/>
              </w:rPr>
              <w:t>TOPLAM </w:t>
            </w:r>
          </w:p>
        </w:tc>
        <w:tc>
          <w:tcPr>
            <w:tcW w:w="2071" w:type="dxa"/>
            <w:tcBorders>
              <w:top w:val="nil"/>
              <w:left w:val="nil"/>
              <w:bottom w:val="single" w:sz="8" w:space="0" w:color="auto"/>
              <w:right w:val="single" w:sz="8" w:space="0" w:color="auto"/>
            </w:tcBorders>
            <w:shd w:val="clear" w:color="auto" w:fill="DDEBF7"/>
            <w:tcMar>
              <w:top w:w="0" w:type="dxa"/>
              <w:left w:w="70" w:type="dxa"/>
              <w:bottom w:w="0" w:type="dxa"/>
              <w:right w:w="70" w:type="dxa"/>
            </w:tcMar>
            <w:vAlign w:val="center"/>
            <w:hideMark/>
          </w:tcPr>
          <w:p w:rsidR="00E00F83" w:rsidRDefault="00E00F83" w:rsidP="00FD2446">
            <w:pPr>
              <w:jc w:val="center"/>
              <w:rPr>
                <w:rFonts w:ascii="Times New Roman" w:hAnsi="Times New Roman" w:cs="Times New Roman"/>
                <w:b/>
                <w:bCs/>
                <w:color w:val="000000"/>
                <w:sz w:val="24"/>
                <w:szCs w:val="24"/>
                <w:lang w:eastAsia="tr-TR"/>
              </w:rPr>
            </w:pPr>
            <w:r>
              <w:rPr>
                <w:rFonts w:ascii="Times New Roman" w:hAnsi="Times New Roman" w:cs="Times New Roman"/>
                <w:b/>
                <w:bCs/>
                <w:color w:val="000000"/>
                <w:sz w:val="24"/>
                <w:szCs w:val="24"/>
                <w:lang w:eastAsia="tr-TR"/>
              </w:rPr>
              <w:t>181.944.000</w:t>
            </w:r>
          </w:p>
        </w:tc>
        <w:tc>
          <w:tcPr>
            <w:tcW w:w="170" w:type="dxa"/>
            <w:vAlign w:val="center"/>
            <w:hideMark/>
          </w:tcPr>
          <w:p w:rsidR="00E00F83" w:rsidRDefault="00E00F83" w:rsidP="00FD2446">
            <w:pPr>
              <w:rPr>
                <w:rFonts w:ascii="Times New Roman" w:hAnsi="Times New Roman" w:cs="Times New Roman"/>
                <w:b/>
                <w:bCs/>
                <w:color w:val="000000"/>
                <w:sz w:val="24"/>
                <w:szCs w:val="24"/>
                <w:lang w:eastAsia="tr-TR"/>
              </w:rPr>
            </w:pPr>
          </w:p>
        </w:tc>
      </w:tr>
    </w:tbl>
    <w:p w:rsidR="00C1625F" w:rsidRDefault="00C1625F">
      <w:pPr>
        <w:pStyle w:val="GvdeMetni"/>
        <w:spacing w:before="1"/>
        <w:ind w:left="0" w:firstLine="0"/>
        <w:jc w:val="left"/>
        <w:rPr>
          <w:b/>
          <w:sz w:val="32"/>
        </w:rPr>
      </w:pPr>
    </w:p>
    <w:p w:rsidR="00A852AF" w:rsidRPr="00B237E8" w:rsidRDefault="009766CB" w:rsidP="00B237E8">
      <w:pPr>
        <w:ind w:left="682"/>
      </w:pPr>
      <w:r>
        <w:t xml:space="preserve">Satın alınacak LNG miktarı toplam </w:t>
      </w:r>
      <w:r w:rsidR="00E00F83">
        <w:rPr>
          <w:rFonts w:ascii="Times New Roman" w:hAnsi="Times New Roman" w:cs="Times New Roman"/>
          <w:b/>
          <w:bCs/>
          <w:color w:val="000000"/>
          <w:sz w:val="24"/>
          <w:szCs w:val="24"/>
          <w:lang w:eastAsia="tr-TR"/>
        </w:rPr>
        <w:t>181.944.000</w:t>
      </w:r>
      <w:r w:rsidR="00343451">
        <w:rPr>
          <w:rFonts w:eastAsia="Times New Roman" w:cs="Calibri"/>
          <w:b/>
          <w:bCs/>
          <w:lang w:val="tr-TR" w:eastAsia="tr-TR"/>
        </w:rPr>
        <w:t xml:space="preserve"> </w:t>
      </w:r>
      <w:r w:rsidR="007E22A5" w:rsidRPr="00B270DE">
        <w:rPr>
          <w:b/>
        </w:rPr>
        <w:t>kWh</w:t>
      </w:r>
      <w:r w:rsidRPr="00B270DE">
        <w:rPr>
          <w:b/>
        </w:rPr>
        <w:t xml:space="preserve"> </w:t>
      </w:r>
      <w:r>
        <w:t>olacaktır.</w:t>
      </w:r>
      <w:r w:rsidR="009470CF" w:rsidRPr="009470CF">
        <w:t xml:space="preserve"> </w:t>
      </w:r>
      <w:r w:rsidR="009470CF">
        <w:t>(“Miktarlar tahmini olarak belirtilmiştir. Sözleşme süresi boyunca, ilgili şehrin ihtiyacı olan doğalgaz tam tedarik usulünce sözleşme şartlarında yüklenici tarafından karşılanacaktır.”)</w:t>
      </w:r>
    </w:p>
    <w:p w:rsidR="00C1625F" w:rsidRDefault="009766CB">
      <w:pPr>
        <w:pStyle w:val="Balk1"/>
        <w:numPr>
          <w:ilvl w:val="0"/>
          <w:numId w:val="1"/>
        </w:numPr>
        <w:tabs>
          <w:tab w:val="left" w:pos="543"/>
          <w:tab w:val="left" w:pos="544"/>
        </w:tabs>
        <w:spacing w:before="196"/>
        <w:ind w:hanging="429"/>
      </w:pPr>
      <w:r>
        <w:t>GENEL</w:t>
      </w:r>
      <w:r>
        <w:rPr>
          <w:spacing w:val="-3"/>
        </w:rPr>
        <w:t xml:space="preserve"> </w:t>
      </w:r>
      <w:r>
        <w:t>HÜKÜMLER</w:t>
      </w:r>
    </w:p>
    <w:p w:rsidR="00C1625F" w:rsidRDefault="004B7158">
      <w:pPr>
        <w:pStyle w:val="ListeParagraf"/>
        <w:numPr>
          <w:ilvl w:val="1"/>
          <w:numId w:val="1"/>
        </w:numPr>
        <w:tabs>
          <w:tab w:val="left" w:pos="1264"/>
        </w:tabs>
        <w:spacing w:before="116"/>
        <w:ind w:right="109"/>
      </w:pPr>
      <w:r>
        <w:t>YÜKLENİCİ, T.C. Enerji Piyasası Düzenleme Kurumu(</w:t>
      </w:r>
      <w:r w:rsidR="009766CB">
        <w:t>EPDK</w:t>
      </w:r>
      <w:r>
        <w:t>) tarafından verilmiş Toptan Satış Lisansı veya İthalat Lisansının bir kopyasını ve LNG İletim</w:t>
      </w:r>
      <w:r>
        <w:rPr>
          <w:spacing w:val="-7"/>
        </w:rPr>
        <w:t xml:space="preserve"> </w:t>
      </w:r>
      <w:r>
        <w:t>Lisansı</w:t>
      </w:r>
      <w:r>
        <w:rPr>
          <w:spacing w:val="-5"/>
        </w:rPr>
        <w:t xml:space="preserve"> </w:t>
      </w:r>
      <w:r>
        <w:t>olan</w:t>
      </w:r>
      <w:r>
        <w:rPr>
          <w:spacing w:val="-4"/>
        </w:rPr>
        <w:t xml:space="preserve"> </w:t>
      </w:r>
      <w:r>
        <w:t>bir</w:t>
      </w:r>
      <w:r>
        <w:rPr>
          <w:spacing w:val="-6"/>
        </w:rPr>
        <w:t xml:space="preserve"> </w:t>
      </w:r>
      <w:r>
        <w:t>firma</w:t>
      </w:r>
      <w:r>
        <w:rPr>
          <w:spacing w:val="-4"/>
        </w:rPr>
        <w:t xml:space="preserve"> </w:t>
      </w:r>
      <w:r>
        <w:t>ile</w:t>
      </w:r>
      <w:r>
        <w:rPr>
          <w:spacing w:val="-8"/>
        </w:rPr>
        <w:t xml:space="preserve"> </w:t>
      </w:r>
      <w:r>
        <w:t>yaptığı</w:t>
      </w:r>
      <w:r>
        <w:rPr>
          <w:spacing w:val="-5"/>
        </w:rPr>
        <w:t xml:space="preserve"> </w:t>
      </w:r>
      <w:r>
        <w:t>sözleşmenin</w:t>
      </w:r>
      <w:r>
        <w:rPr>
          <w:spacing w:val="-4"/>
        </w:rPr>
        <w:t xml:space="preserve"> </w:t>
      </w:r>
      <w:r>
        <w:t>ve</w:t>
      </w:r>
      <w:r>
        <w:rPr>
          <w:spacing w:val="-8"/>
        </w:rPr>
        <w:t xml:space="preserve"> </w:t>
      </w:r>
      <w:r>
        <w:t xml:space="preserve">söz konusu firmanın </w:t>
      </w:r>
      <w:r w:rsidR="00151771">
        <w:t xml:space="preserve">LNG </w:t>
      </w:r>
      <w:r>
        <w:t>İletim Lisansı’nın bir kopyasını İhale Dosyası ile birlikte ibraz edecektir.</w:t>
      </w:r>
      <w:r w:rsidR="009766CB">
        <w:rPr>
          <w:spacing w:val="-8"/>
        </w:rPr>
        <w:t xml:space="preserve"> </w:t>
      </w:r>
    </w:p>
    <w:p w:rsidR="00C1625F" w:rsidRDefault="009766CB">
      <w:pPr>
        <w:pStyle w:val="ListeParagraf"/>
        <w:numPr>
          <w:ilvl w:val="1"/>
          <w:numId w:val="1"/>
        </w:numPr>
        <w:tabs>
          <w:tab w:val="left" w:pos="1264"/>
        </w:tabs>
        <w:spacing w:before="78"/>
        <w:ind w:right="112"/>
      </w:pPr>
      <w:r>
        <w:t>LNG</w:t>
      </w:r>
      <w:r>
        <w:rPr>
          <w:spacing w:val="-4"/>
        </w:rPr>
        <w:t xml:space="preserve"> </w:t>
      </w:r>
      <w:r>
        <w:t>Taşıma ve</w:t>
      </w:r>
      <w:r>
        <w:rPr>
          <w:spacing w:val="-5"/>
        </w:rPr>
        <w:t xml:space="preserve"> </w:t>
      </w:r>
      <w:r>
        <w:t>Boşaltma işleri;</w:t>
      </w:r>
      <w:r>
        <w:rPr>
          <w:spacing w:val="-8"/>
        </w:rPr>
        <w:t xml:space="preserve"> </w:t>
      </w:r>
      <w:r>
        <w:t>4646 sayılı</w:t>
      </w:r>
      <w:r>
        <w:rPr>
          <w:spacing w:val="-3"/>
        </w:rPr>
        <w:t xml:space="preserve"> </w:t>
      </w:r>
      <w:r>
        <w:t>Doğal Gaz</w:t>
      </w:r>
      <w:r>
        <w:rPr>
          <w:spacing w:val="-2"/>
        </w:rPr>
        <w:t xml:space="preserve"> </w:t>
      </w:r>
      <w:r>
        <w:t>Piyasası</w:t>
      </w:r>
      <w:r>
        <w:rPr>
          <w:spacing w:val="-2"/>
        </w:rPr>
        <w:t xml:space="preserve"> </w:t>
      </w:r>
      <w:r>
        <w:t>Kanunu</w:t>
      </w:r>
      <w:r>
        <w:rPr>
          <w:spacing w:val="-5"/>
        </w:rPr>
        <w:t xml:space="preserve"> </w:t>
      </w:r>
      <w:r>
        <w:t>ve</w:t>
      </w:r>
      <w:r>
        <w:rPr>
          <w:spacing w:val="-5"/>
        </w:rPr>
        <w:t xml:space="preserve"> </w:t>
      </w:r>
      <w:r>
        <w:t>bu</w:t>
      </w:r>
      <w:r>
        <w:rPr>
          <w:spacing w:val="-4"/>
        </w:rPr>
        <w:t xml:space="preserve"> </w:t>
      </w:r>
      <w:r>
        <w:t>Kanun’a göre çıkarılmış ikincil mevzuata uygun olarak</w:t>
      </w:r>
      <w:r>
        <w:rPr>
          <w:spacing w:val="-4"/>
        </w:rPr>
        <w:t xml:space="preserve"> </w:t>
      </w:r>
      <w:r>
        <w:t>yapılacaktır.</w:t>
      </w:r>
    </w:p>
    <w:p w:rsidR="00C1625F" w:rsidRDefault="009766CB">
      <w:pPr>
        <w:pStyle w:val="ListeParagraf"/>
        <w:numPr>
          <w:ilvl w:val="1"/>
          <w:numId w:val="1"/>
        </w:numPr>
        <w:tabs>
          <w:tab w:val="left" w:pos="1264"/>
        </w:tabs>
        <w:spacing w:before="118"/>
        <w:ind w:right="108"/>
      </w:pPr>
      <w:r>
        <w:t xml:space="preserve">LNG ikmali, ihaleyi kazanan ve sözleşme imzalanan firma (YÜKLENİCİ) tarafından sağlanacaktır. YÜKLENİCİ, ENERYA’nın ihtiyacı olan LNG’yi, ENERYA’nın belirleyeceği takvime ve/veya ENERYA’nın yapacağı taleplere uygun olarak getirecektir. İhtiyaç, ENERYA tarafından yazılı veya sözlü olarak bildirilecek, YÜKLENİCİ bu talebi 72 (yetmişiki) saat içinde karşılayacaktır. YÜKLENİCİ isterse ENERYA talepleri haricinde, dolum yapabilir. Emniyetli ve verimli bir çalışma için, </w:t>
      </w:r>
      <w:r>
        <w:lastRenderedPageBreak/>
        <w:t>LNG tankının basınç ve seviye bilgileri telemetri/SCADA sistemiyle her gün YÜKLENİCİ’nin belirlediği 2 (iki) cep telefonu numarasına SMS olarak ve/veya YÜKLENİCİ’nin bildireceği elektronik posta adreslerine</w:t>
      </w:r>
      <w:r>
        <w:rPr>
          <w:spacing w:val="-11"/>
        </w:rPr>
        <w:t xml:space="preserve"> </w:t>
      </w:r>
      <w:r>
        <w:t>gönderilecektir.</w:t>
      </w:r>
    </w:p>
    <w:p w:rsidR="00C1625F" w:rsidRDefault="009766CB">
      <w:pPr>
        <w:pStyle w:val="ListeParagraf"/>
        <w:numPr>
          <w:ilvl w:val="1"/>
          <w:numId w:val="1"/>
        </w:numPr>
        <w:tabs>
          <w:tab w:val="left" w:pos="1264"/>
        </w:tabs>
        <w:spacing w:before="122"/>
        <w:ind w:right="107"/>
      </w:pPr>
      <w:r>
        <w:t>LNG teslimatı ENERYA’nın talep etmesi durumunda 7 gün/24 saat, bayram tatillerinde de</w:t>
      </w:r>
      <w:r>
        <w:rPr>
          <w:spacing w:val="-7"/>
        </w:rPr>
        <w:t xml:space="preserve"> </w:t>
      </w:r>
      <w:r>
        <w:t>yapılabilecektir.</w:t>
      </w:r>
    </w:p>
    <w:p w:rsidR="00C1625F" w:rsidRPr="000A0BA6" w:rsidRDefault="009766CB">
      <w:pPr>
        <w:pStyle w:val="ListeParagraf"/>
        <w:numPr>
          <w:ilvl w:val="1"/>
          <w:numId w:val="1"/>
        </w:numPr>
        <w:tabs>
          <w:tab w:val="left" w:pos="1264"/>
        </w:tabs>
        <w:spacing w:before="117"/>
        <w:ind w:right="110"/>
      </w:pPr>
      <w:r w:rsidRPr="000A0BA6">
        <w:t>ENERYA, satın alınacak miktarları, ihtiyaca göre değiştirebilir ve YÜKLENİCİ’ye makul</w:t>
      </w:r>
      <w:r w:rsidRPr="000A0BA6">
        <w:rPr>
          <w:spacing w:val="-11"/>
        </w:rPr>
        <w:t xml:space="preserve"> </w:t>
      </w:r>
      <w:r w:rsidRPr="000A0BA6">
        <w:t>sürede</w:t>
      </w:r>
      <w:r w:rsidRPr="000A0BA6">
        <w:rPr>
          <w:spacing w:val="-16"/>
        </w:rPr>
        <w:t xml:space="preserve"> </w:t>
      </w:r>
      <w:r w:rsidRPr="000A0BA6">
        <w:t>bildirir.</w:t>
      </w:r>
      <w:r w:rsidRPr="000A0BA6">
        <w:rPr>
          <w:spacing w:val="16"/>
        </w:rPr>
        <w:t xml:space="preserve"> </w:t>
      </w:r>
      <w:r w:rsidRPr="000A0BA6">
        <w:t>ENERYA</w:t>
      </w:r>
      <w:r w:rsidRPr="000A0BA6">
        <w:rPr>
          <w:spacing w:val="-11"/>
        </w:rPr>
        <w:t xml:space="preserve"> </w:t>
      </w:r>
      <w:r w:rsidRPr="000A0BA6">
        <w:t>herhangi</w:t>
      </w:r>
      <w:r w:rsidRPr="000A0BA6">
        <w:rPr>
          <w:spacing w:val="-13"/>
        </w:rPr>
        <w:t xml:space="preserve"> </w:t>
      </w:r>
      <w:r w:rsidRPr="000A0BA6">
        <w:t>bir</w:t>
      </w:r>
      <w:r w:rsidRPr="000A0BA6">
        <w:rPr>
          <w:spacing w:val="-17"/>
        </w:rPr>
        <w:t xml:space="preserve"> </w:t>
      </w:r>
      <w:r w:rsidRPr="000A0BA6">
        <w:t>sebeple</w:t>
      </w:r>
      <w:r w:rsidRPr="000A0BA6">
        <w:rPr>
          <w:spacing w:val="-20"/>
        </w:rPr>
        <w:t xml:space="preserve"> </w:t>
      </w:r>
      <w:r w:rsidRPr="000A0BA6">
        <w:t>(tesislerinde</w:t>
      </w:r>
      <w:r w:rsidRPr="000A0BA6">
        <w:rPr>
          <w:spacing w:val="-15"/>
        </w:rPr>
        <w:t xml:space="preserve"> </w:t>
      </w:r>
      <w:r w:rsidRPr="000A0BA6">
        <w:t>önemli</w:t>
      </w:r>
      <w:r w:rsidRPr="000A0BA6">
        <w:rPr>
          <w:spacing w:val="-16"/>
        </w:rPr>
        <w:t xml:space="preserve"> </w:t>
      </w:r>
      <w:r w:rsidRPr="000A0BA6">
        <w:t>arıza,</w:t>
      </w:r>
      <w:r w:rsidRPr="000A0BA6">
        <w:rPr>
          <w:spacing w:val="-16"/>
        </w:rPr>
        <w:t xml:space="preserve"> </w:t>
      </w:r>
      <w:r w:rsidRPr="000A0BA6">
        <w:t>büyük bakım-onarım, yenileme, doğal afet, vb.) LNG sevkiyatını azaltabilir ve/veya durdurabilir. Bu durumda ENERYA’nın herhangi bir yükümlülüğü olmadığı gibi YÜKLENİCİ’nin ödeme dahil herhangi bir talebi de</w:t>
      </w:r>
      <w:r w:rsidRPr="000A0BA6">
        <w:rPr>
          <w:spacing w:val="-8"/>
        </w:rPr>
        <w:t xml:space="preserve"> </w:t>
      </w:r>
      <w:r w:rsidRPr="000A0BA6">
        <w:t>olamaz.</w:t>
      </w:r>
    </w:p>
    <w:p w:rsidR="00C1625F" w:rsidRDefault="009766CB">
      <w:pPr>
        <w:pStyle w:val="ListeParagraf"/>
        <w:numPr>
          <w:ilvl w:val="1"/>
          <w:numId w:val="1"/>
        </w:numPr>
        <w:tabs>
          <w:tab w:val="left" w:pos="1264"/>
        </w:tabs>
        <w:spacing w:before="122"/>
        <w:ind w:right="111"/>
      </w:pPr>
      <w:r>
        <w:t>Tesise LNG taşıması yapacak İletim Firması’nın İletim Lisansı ve ilgili K Belgelerinin aslı veya noter onaylı sureti Sözleşmeden sonra ENERYA’ya ibraz</w:t>
      </w:r>
      <w:r>
        <w:rPr>
          <w:spacing w:val="-11"/>
        </w:rPr>
        <w:t xml:space="preserve"> </w:t>
      </w:r>
      <w:r>
        <w:t>edilecektir.</w:t>
      </w:r>
    </w:p>
    <w:p w:rsidR="00316666" w:rsidRPr="00316666" w:rsidRDefault="00316666" w:rsidP="00316666">
      <w:pPr>
        <w:pStyle w:val="ListeParagraf"/>
        <w:numPr>
          <w:ilvl w:val="1"/>
          <w:numId w:val="1"/>
        </w:numPr>
        <w:tabs>
          <w:tab w:val="left" w:pos="1264"/>
        </w:tabs>
        <w:spacing w:before="122"/>
        <w:ind w:right="111"/>
      </w:pPr>
      <w:r w:rsidRPr="00316666">
        <w:rPr>
          <w:b/>
        </w:rPr>
        <w:t>KARAHAYIT LNG BOŞALTIM İSTASYONU İÇİN TEKNİK ŞARTNAM</w:t>
      </w:r>
      <w:r>
        <w:rPr>
          <w:b/>
        </w:rPr>
        <w:t>E</w:t>
      </w:r>
    </w:p>
    <w:p w:rsidR="00DC0D03" w:rsidRPr="00871363" w:rsidRDefault="00DC0D03" w:rsidP="00316666">
      <w:pPr>
        <w:ind w:left="543" w:firstLine="720"/>
        <w:rPr>
          <w:b/>
          <w:u w:val="single"/>
        </w:rPr>
      </w:pPr>
    </w:p>
    <w:p w:rsidR="00DC0D03" w:rsidRDefault="00DC0D03" w:rsidP="00DC0D03">
      <w:pPr>
        <w:pStyle w:val="ListeParagraf"/>
        <w:widowControl/>
        <w:numPr>
          <w:ilvl w:val="0"/>
          <w:numId w:val="2"/>
        </w:numPr>
        <w:autoSpaceDE/>
        <w:autoSpaceDN/>
        <w:spacing w:before="0" w:after="160" w:line="259" w:lineRule="auto"/>
        <w:contextualSpacing/>
        <w:jc w:val="left"/>
      </w:pPr>
      <w:r>
        <w:t xml:space="preserve">MAWP 5 Bar olan 2-4 adet yatay veya dikey tanklardan </w:t>
      </w:r>
      <w:proofErr w:type="gramStart"/>
      <w:r>
        <w:t>ibaret(</w:t>
      </w:r>
      <w:proofErr w:type="gramEnd"/>
      <w:r>
        <w:t>yatay ve dikey karışık olmayacak) toplam tank kapasitesi minimum 145 Sm3 hacminde olan LNG tankları yerleştirilecektir. Dikey tankların yüksekliği 14 metreyi, yatay tankların uzunluğu 16 metreyi geçmeyecektir.</w:t>
      </w:r>
    </w:p>
    <w:p w:rsidR="00DC0D03" w:rsidRDefault="00DC0D03" w:rsidP="00DC0D03">
      <w:pPr>
        <w:pStyle w:val="ListeParagraf"/>
        <w:widowControl/>
        <w:numPr>
          <w:ilvl w:val="0"/>
          <w:numId w:val="2"/>
        </w:numPr>
        <w:autoSpaceDE/>
        <w:autoSpaceDN/>
        <w:spacing w:before="0" w:after="160" w:line="259" w:lineRule="auto"/>
        <w:contextualSpacing/>
        <w:jc w:val="left"/>
      </w:pPr>
      <w:r>
        <w:t>Minimum 750 Sm3/h kapasiteli MAWP 40 Bar basınç sınıfında evaporatörlerden oluşan, toplamda minimum 3500 Sm3/h debi kapasitesine sahip buharlaştırıcı sistem kurulacak. Kurulacak sistem sonradan evaporatör ilave edilebilecek şekilde tasarlanacaktır.</w:t>
      </w:r>
    </w:p>
    <w:p w:rsidR="00DC0D03" w:rsidRDefault="00DC0D03" w:rsidP="00DC0D03">
      <w:pPr>
        <w:pStyle w:val="ListeParagraf"/>
        <w:widowControl/>
        <w:numPr>
          <w:ilvl w:val="0"/>
          <w:numId w:val="2"/>
        </w:numPr>
        <w:autoSpaceDE/>
        <w:autoSpaceDN/>
        <w:spacing w:before="0" w:after="160" w:line="259" w:lineRule="auto"/>
        <w:contextualSpacing/>
        <w:jc w:val="left"/>
      </w:pPr>
      <w:r>
        <w:t xml:space="preserve">Saatlik max tüketim değeri 3500-4000 Sm3/h </w:t>
      </w:r>
    </w:p>
    <w:p w:rsidR="00DC0D03" w:rsidRDefault="00DC0D03" w:rsidP="00DC0D03">
      <w:pPr>
        <w:pStyle w:val="ListeParagraf"/>
        <w:widowControl/>
        <w:numPr>
          <w:ilvl w:val="0"/>
          <w:numId w:val="2"/>
        </w:numPr>
        <w:autoSpaceDE/>
        <w:autoSpaceDN/>
        <w:spacing w:before="0" w:after="160" w:line="259" w:lineRule="auto"/>
        <w:contextualSpacing/>
        <w:jc w:val="left"/>
      </w:pPr>
      <w:r>
        <w:t>Günlük tüketim değeri ortalama 16.000 Sm3, maximum 32.000 Sm3</w:t>
      </w:r>
    </w:p>
    <w:p w:rsidR="00DC0D03" w:rsidRDefault="00DC0D03" w:rsidP="00DC0D03">
      <w:pPr>
        <w:pStyle w:val="ListeParagraf"/>
        <w:widowControl/>
        <w:numPr>
          <w:ilvl w:val="0"/>
          <w:numId w:val="2"/>
        </w:numPr>
        <w:autoSpaceDE/>
        <w:autoSpaceDN/>
        <w:spacing w:before="0" w:after="160" w:line="259" w:lineRule="auto"/>
        <w:contextualSpacing/>
        <w:jc w:val="left"/>
      </w:pPr>
      <w:r>
        <w:t>Tank basıncı ve evaporatör çıkış basıncı 4 bar olacaktır.</w:t>
      </w:r>
      <w:r w:rsidRPr="004A2776">
        <w:t xml:space="preserve"> </w:t>
      </w:r>
    </w:p>
    <w:p w:rsidR="00DC0D03" w:rsidRDefault="00DC0D03" w:rsidP="00DC0D03">
      <w:pPr>
        <w:pStyle w:val="ListeParagraf"/>
        <w:widowControl/>
        <w:numPr>
          <w:ilvl w:val="0"/>
          <w:numId w:val="2"/>
        </w:numPr>
        <w:autoSpaceDE/>
        <w:autoSpaceDN/>
        <w:spacing w:before="0" w:after="160" w:line="259" w:lineRule="auto"/>
        <w:contextualSpacing/>
        <w:jc w:val="left"/>
      </w:pPr>
      <w:r>
        <w:t xml:space="preserve">Sözleşme süresi 4 yıl olacak ve toplamda 17.000.000 Sm3 gaz tedariki sağlanacaktır ve bu süre sonunda sözleşmede belirtilen tüketim değerine ulaşılamaz ise sözleşme en fazla bir yıl olmak üzere sözleşme tüketim değerine ulaşıncaya kadar uzatılacaktır.  </w:t>
      </w:r>
    </w:p>
    <w:p w:rsidR="00DC0D03" w:rsidRDefault="00DC0D03" w:rsidP="00DC0D03">
      <w:pPr>
        <w:pStyle w:val="ListeParagraf"/>
        <w:widowControl/>
        <w:numPr>
          <w:ilvl w:val="0"/>
          <w:numId w:val="2"/>
        </w:numPr>
        <w:autoSpaceDE/>
        <w:autoSpaceDN/>
        <w:spacing w:before="0" w:after="160" w:line="259" w:lineRule="auto"/>
        <w:contextualSpacing/>
        <w:jc w:val="left"/>
      </w:pPr>
      <w:r>
        <w:t>Tesisin inşaat işleri ve kontrol binası Enerya Denizli tarafından yapılacaktır.</w:t>
      </w:r>
    </w:p>
    <w:p w:rsidR="00DC0D03" w:rsidRDefault="00DC0D03" w:rsidP="00DC0D03">
      <w:pPr>
        <w:pStyle w:val="ListeParagraf"/>
        <w:widowControl/>
        <w:numPr>
          <w:ilvl w:val="0"/>
          <w:numId w:val="2"/>
        </w:numPr>
        <w:autoSpaceDE/>
        <w:autoSpaceDN/>
        <w:spacing w:before="0" w:after="160" w:line="259" w:lineRule="auto"/>
        <w:contextualSpacing/>
        <w:jc w:val="left"/>
      </w:pPr>
      <w:r>
        <w:t>Yüklenici, sözleşme imzalanmasına müteakip, bir hafta içerisinde imal edeceği sistemin P&amp;IDsini, tesisin yerleşim planı ve inşaat uygulama projelerini dağıtım şirketine teslim edecektir.</w:t>
      </w:r>
    </w:p>
    <w:p w:rsidR="00DC0D03" w:rsidRDefault="00DC0D03" w:rsidP="00DC0D03">
      <w:pPr>
        <w:pStyle w:val="ListeParagraf"/>
        <w:widowControl/>
        <w:numPr>
          <w:ilvl w:val="0"/>
          <w:numId w:val="2"/>
        </w:numPr>
        <w:autoSpaceDE/>
        <w:autoSpaceDN/>
        <w:spacing w:before="0" w:after="160" w:line="259" w:lineRule="auto"/>
        <w:contextualSpacing/>
        <w:jc w:val="left"/>
      </w:pPr>
      <w:r>
        <w:t>Yüklenici, inşaat işlerinin dağıtım şirketi tarafından tamamlanması ve dağıtım şirketinin montaj için saha teslimi yapmasına müteakip, 30 gün içerisinde gaz arzını sağlayacak şekilde çalışmalarını tamamlayacaktır.</w:t>
      </w:r>
    </w:p>
    <w:p w:rsidR="00DC0D03" w:rsidRDefault="00DC0D03" w:rsidP="00DC0D03">
      <w:pPr>
        <w:pStyle w:val="ListeParagraf"/>
        <w:widowControl/>
        <w:numPr>
          <w:ilvl w:val="0"/>
          <w:numId w:val="2"/>
        </w:numPr>
        <w:autoSpaceDE/>
        <w:autoSpaceDN/>
        <w:spacing w:before="0" w:after="160" w:line="259" w:lineRule="auto"/>
        <w:contextualSpacing/>
        <w:jc w:val="left"/>
      </w:pPr>
      <w:r>
        <w:t>YÜKLENİCİ, projenin tüm çalışmalarını EPDK’dan lisanslı müşavir ve third-party firmalarının onayıyla yürütecek ve Dağıtım Şirketine onaylı olarak sunacaktır.</w:t>
      </w:r>
    </w:p>
    <w:p w:rsidR="00DC0D03" w:rsidRDefault="00DC0D03" w:rsidP="00DC0D03">
      <w:pPr>
        <w:pStyle w:val="ListeParagraf"/>
        <w:widowControl/>
        <w:numPr>
          <w:ilvl w:val="0"/>
          <w:numId w:val="2"/>
        </w:numPr>
        <w:autoSpaceDE/>
        <w:autoSpaceDN/>
        <w:spacing w:before="0" w:after="160" w:line="259" w:lineRule="auto"/>
        <w:contextualSpacing/>
        <w:jc w:val="left"/>
      </w:pPr>
      <w:r>
        <w:t>Tank ve evaporatörlerin, borulama elemanlarının, otomasyon ve uzaktan izleme sistemlerinin taşınması, indirilmesi, yerleştirilmesi, montajı, kurulması, borulaması ve tüm ünitelerin entegre hale getirilmesi yüklenici tarafından yapılacaktır.</w:t>
      </w:r>
    </w:p>
    <w:p w:rsidR="00DC0D03" w:rsidRDefault="00DC0D03" w:rsidP="00DC0D03">
      <w:pPr>
        <w:pStyle w:val="ListeParagraf"/>
        <w:widowControl/>
        <w:numPr>
          <w:ilvl w:val="0"/>
          <w:numId w:val="2"/>
        </w:numPr>
        <w:autoSpaceDE/>
        <w:autoSpaceDN/>
        <w:spacing w:before="0" w:after="160" w:line="259" w:lineRule="auto"/>
        <w:contextualSpacing/>
        <w:jc w:val="left"/>
      </w:pPr>
      <w:r>
        <w:t xml:space="preserve">Tesisin akış, emniyet, durum verilerinin, uzaktan kontrolü ve alarmların oluşmasını ve iletilmesini sağlayacak otomasyon sistemi, program ve donanım yüklenici tarafından temin edilecek ve kurulacaktır. </w:t>
      </w:r>
    </w:p>
    <w:p w:rsidR="00DC0D03" w:rsidRDefault="00DC0D03" w:rsidP="00DC0D03">
      <w:pPr>
        <w:pStyle w:val="ListeParagraf"/>
        <w:widowControl/>
        <w:numPr>
          <w:ilvl w:val="0"/>
          <w:numId w:val="2"/>
        </w:numPr>
        <w:autoSpaceDE/>
        <w:autoSpaceDN/>
        <w:spacing w:before="0" w:after="160" w:line="259" w:lineRule="auto"/>
        <w:contextualSpacing/>
        <w:jc w:val="left"/>
      </w:pPr>
      <w:r w:rsidRPr="00697F73">
        <w:t xml:space="preserve">LNG boşaltım tesisinin gereksinimlerini içeren inşaat ve uygulama projesi ve diğer fiziki koşullar YÜKLENİCİ tarafından bildirilecek olup DAĞITIM ŞİRKETİ tarafından incelendikten ve ortak uygunluk sağlanması sonrasında DAĞITIM ŞİRKETİ gereklilikleri yerine getirecektir. </w:t>
      </w:r>
    </w:p>
    <w:p w:rsidR="00DC0D03" w:rsidRDefault="00DC0D03" w:rsidP="00DC0D03">
      <w:pPr>
        <w:pStyle w:val="ListeParagraf"/>
        <w:widowControl/>
        <w:numPr>
          <w:ilvl w:val="0"/>
          <w:numId w:val="2"/>
        </w:numPr>
        <w:autoSpaceDE/>
        <w:autoSpaceDN/>
        <w:spacing w:before="0" w:after="160" w:line="259" w:lineRule="auto"/>
        <w:contextualSpacing/>
        <w:jc w:val="left"/>
      </w:pPr>
      <w:r w:rsidRPr="00697F73">
        <w:t xml:space="preserve">Tesisin kurulacağı yerin fiziki şartlarının hazırlanması DAĞITIM ŞİRKETİ’nin sorumluluğunda olup, ölçüm sistemi hariç gerekli ekipmanların temin ve </w:t>
      </w:r>
      <w:r>
        <w:t>tesis</w:t>
      </w:r>
      <w:r w:rsidRPr="00697F73">
        <w:t xml:space="preserve"> edilmesi, devreye alınması, işletme ve bakım sorumluluğu YÜKLENİCİ’ye aittir. Teslim noktasına (ölçüm hattı giriş kısmı) kadar olan sistemin bakım, onarım ve mevzuatlarda belirtilen </w:t>
      </w:r>
      <w:r w:rsidRPr="00697F73">
        <w:lastRenderedPageBreak/>
        <w:t>kalibrasyon hizmetleri YÜKLENİCİ’nin, teslim noktasında sonraki tesis ekip ve ekipmanlar</w:t>
      </w:r>
      <w:r>
        <w:t>ı, ölçüm ünitesi</w:t>
      </w:r>
      <w:r w:rsidRPr="00697F73">
        <w:t xml:space="preserve"> ise DAĞITIM ŞİRKETİ’nin sorumluluğundadır.</w:t>
      </w:r>
    </w:p>
    <w:p w:rsidR="00DC0D03" w:rsidRDefault="00DC0D03" w:rsidP="00DC0D03">
      <w:pPr>
        <w:pStyle w:val="ListeParagraf"/>
        <w:widowControl/>
        <w:numPr>
          <w:ilvl w:val="0"/>
          <w:numId w:val="2"/>
        </w:numPr>
        <w:autoSpaceDE/>
        <w:autoSpaceDN/>
        <w:spacing w:before="0" w:after="160" w:line="259" w:lineRule="auto"/>
        <w:contextualSpacing/>
        <w:jc w:val="left"/>
      </w:pPr>
      <w:r w:rsidRPr="00697F73">
        <w:t xml:space="preserve"> </w:t>
      </w:r>
      <w:r>
        <w:t>Kokulandırma sistemi/sistemleri Dağıtım Şirketi tarafından temin edilecektir ve Teslim noktasında kurulacaktır. 8-25 mg/m3 olarak sisteme koku verilecektir. Yüklenici kokulandırma sisteminin bağlantısı için, evaporatör sonrası uygun bir noktaya bağlantı için ağız ve kablolama sağlayacaktır.</w:t>
      </w:r>
    </w:p>
    <w:p w:rsidR="00DC0D03" w:rsidRDefault="00DC0D03" w:rsidP="00DC0D03">
      <w:pPr>
        <w:pStyle w:val="ListeParagraf"/>
        <w:widowControl/>
        <w:numPr>
          <w:ilvl w:val="0"/>
          <w:numId w:val="2"/>
        </w:numPr>
        <w:autoSpaceDE/>
        <w:autoSpaceDN/>
        <w:spacing w:before="0" w:after="160" w:line="259" w:lineRule="auto"/>
        <w:contextualSpacing/>
        <w:jc w:val="left"/>
      </w:pPr>
      <w:r>
        <w:t>Yüklenici tesisin kurulmasında üzerine düşen işleri, EPDK Yapım ve Hizmet sertifikalarına sahip firmalara yaptırmalıdır. Gerçekleştirilen yapım ve hizmet faaliyeti diğer bir kontrole yetkili EPDK Yapım Hizmet Sertifikası sahibi tüzel kişi tarafından kontrol edilmeli ve uygunluk verilmiş olmalıdır. Dağıtım Şirketi ve YÜKLENİCİ Tesis’te yapımı kendi üzerlerine düşen işlerde müstakilen bu kurala uymalıdır.</w:t>
      </w:r>
    </w:p>
    <w:p w:rsidR="00DC0D03" w:rsidRDefault="00DC0D03" w:rsidP="00DC0D03">
      <w:pPr>
        <w:pStyle w:val="ListeParagraf"/>
        <w:widowControl/>
        <w:numPr>
          <w:ilvl w:val="0"/>
          <w:numId w:val="2"/>
        </w:numPr>
        <w:autoSpaceDE/>
        <w:autoSpaceDN/>
        <w:spacing w:before="0" w:after="160" w:line="259" w:lineRule="auto"/>
        <w:contextualSpacing/>
        <w:jc w:val="left"/>
      </w:pPr>
      <w:r w:rsidRPr="001F1737">
        <w:t>Tesis’te kullanılacak ekipmanlar, TSE standartlarına uygun ve CE mevzuatına tabi olduğu durumlarda CE sertifikalı olmalıdır. Tesisatta sadece CE, ATEX ve TSE veya bunların haricinde akredite kurumlarca düzenlenmiş sertifikası olan malzemeler kullanılabilir. Dağıtım Şirketi ve YÜKLENİCİ Tesis’te kendi üzerlerine düşen işlerde müstakilen bu kurala uymalıdır.</w:t>
      </w:r>
    </w:p>
    <w:p w:rsidR="00DC0D03" w:rsidRDefault="00DC0D03" w:rsidP="00DC0D03">
      <w:pPr>
        <w:pStyle w:val="ListeParagraf"/>
        <w:widowControl/>
        <w:numPr>
          <w:ilvl w:val="0"/>
          <w:numId w:val="2"/>
        </w:numPr>
        <w:autoSpaceDE/>
        <w:autoSpaceDN/>
        <w:spacing w:before="0" w:after="160" w:line="259" w:lineRule="auto"/>
        <w:contextualSpacing/>
        <w:jc w:val="left"/>
      </w:pPr>
      <w:r w:rsidRPr="001F1737">
        <w:t>Dağıtım Şebekesine teslim noktasında doğal gazın faturaya baz ölçümünün yapılacağı sayaç, otomatik hacim düzeltici ve Dağıtım Şirketi Sevkiyat Kontrol Merkezi (SKM) ile iletişim sisteminin temini ve işletmesi Dağıtım Şirketinin sorumluluğundadır. SKM üzerinden veriler YÜKLENİCİ ile paylaşılacaktır. YÜKLENİCİ’nin kendi sistemi ile ilgili gereklilikler YÜKLENİCİnin sorumluluğundadır.</w:t>
      </w:r>
      <w:r w:rsidRPr="007D099C">
        <w:t xml:space="preserve"> </w:t>
      </w:r>
    </w:p>
    <w:p w:rsidR="00DC0D03" w:rsidRDefault="00DC0D03" w:rsidP="00DC0D03">
      <w:pPr>
        <w:pStyle w:val="ListeParagraf"/>
        <w:widowControl/>
        <w:numPr>
          <w:ilvl w:val="0"/>
          <w:numId w:val="2"/>
        </w:numPr>
        <w:autoSpaceDE/>
        <w:autoSpaceDN/>
        <w:spacing w:before="0" w:after="160" w:line="259" w:lineRule="auto"/>
        <w:contextualSpacing/>
        <w:jc w:val="left"/>
      </w:pPr>
      <w:r>
        <w:t>Topraklama: Boşaltım sahasının ana topraklama sistemi, paratoner Dağıtım Şirketi tarafından yapılacak olup,</w:t>
      </w:r>
      <w:r w:rsidRPr="007D099C">
        <w:t xml:space="preserve"> treylerler/tankerler</w:t>
      </w:r>
      <w:r>
        <w:t>, tanklar, evaporatörler</w:t>
      </w:r>
      <w:r w:rsidRPr="007D099C">
        <w:t xml:space="preserve"> ile diğer tüm </w:t>
      </w:r>
      <w:r>
        <w:t xml:space="preserve">mekanik </w:t>
      </w:r>
      <w:r w:rsidRPr="007D099C">
        <w:t>ekipman</w:t>
      </w:r>
      <w:r>
        <w:t>ın</w:t>
      </w:r>
      <w:r w:rsidRPr="007D099C">
        <w:t xml:space="preserve"> </w:t>
      </w:r>
      <w:r>
        <w:t xml:space="preserve">topraklama sistemine bağlantısı </w:t>
      </w:r>
      <w:r w:rsidRPr="007D099C">
        <w:t xml:space="preserve">YÜKLENİCİ tarafından yaptırılacaktır. </w:t>
      </w:r>
    </w:p>
    <w:p w:rsidR="00DC0D03" w:rsidRDefault="00DC0D03" w:rsidP="00DC0D03">
      <w:pPr>
        <w:pStyle w:val="ListeParagraf"/>
        <w:widowControl/>
        <w:numPr>
          <w:ilvl w:val="0"/>
          <w:numId w:val="2"/>
        </w:numPr>
        <w:autoSpaceDE/>
        <w:autoSpaceDN/>
        <w:spacing w:before="0" w:after="160" w:line="259" w:lineRule="auto"/>
        <w:contextualSpacing/>
        <w:jc w:val="left"/>
      </w:pPr>
      <w:r w:rsidRPr="00181D63">
        <w:t>YÜKLENİCİ Tarafından tesis’te gaz algılama, yangın algılama, yüksek basınç sensörleri ve acil durdurma sistemlerinden gelen ikazları sesli ve ışıklı alarma çeviren ve basınç düşürme sistemi üzerindeki vanaları otomatik olarak kapatacak bir tesis ana kumanda panosu konulmalıdır. Ayrıca pano üzerinden acil kapatma vanaları manuel olarak açılıp, kapatılabilmeli veya acil durdurma butonu aracılığıyla vanalar kapatılıp alarm verilebilmelidir. Panonun üzerindeki ikazların aynısını bulunduran paralel ikaz panosu operatör idari ofisinde de bulunmalıdır.</w:t>
      </w:r>
    </w:p>
    <w:p w:rsidR="00DC0D03" w:rsidRDefault="00DC0D03" w:rsidP="00316666">
      <w:pPr>
        <w:pStyle w:val="ListeParagraf"/>
        <w:widowControl/>
        <w:numPr>
          <w:ilvl w:val="0"/>
          <w:numId w:val="2"/>
        </w:numPr>
        <w:autoSpaceDE/>
        <w:autoSpaceDN/>
        <w:spacing w:before="0" w:after="160" w:line="259" w:lineRule="auto"/>
        <w:contextualSpacing/>
        <w:jc w:val="left"/>
      </w:pPr>
      <w:r>
        <w:t>Yüklenici, pnömatik vanaların çalışabilmelerini sağlayacak basınçlı havayı temin etmek için gerekli kompresörleri ve hava hatlarını tesis edecektir.</w:t>
      </w:r>
    </w:p>
    <w:p w:rsidR="00DC0D03" w:rsidRPr="00871363" w:rsidRDefault="00DC0D03" w:rsidP="00D15282">
      <w:pPr>
        <w:pStyle w:val="ListeParagraf"/>
        <w:ind w:hanging="543"/>
        <w:rPr>
          <w:b/>
          <w:u w:val="single"/>
        </w:rPr>
      </w:pPr>
      <w:r w:rsidRPr="00871363">
        <w:rPr>
          <w:b/>
          <w:u w:val="single"/>
        </w:rPr>
        <w:t>İŞLETME SORUMLULUKLARI:</w:t>
      </w:r>
    </w:p>
    <w:p w:rsidR="00316666" w:rsidRDefault="00316666" w:rsidP="00316666">
      <w:pPr>
        <w:pStyle w:val="ListeParagraf"/>
        <w:numPr>
          <w:ilvl w:val="0"/>
          <w:numId w:val="2"/>
        </w:numPr>
      </w:pPr>
      <w:r w:rsidRPr="00316666">
        <w:t>YÜKLENİCİ, boşaltım tesisinde kurmuş olduğu tüm ünitelerin bakımı, onarımı, arıza giderme, yedek parça temini, sertifikalandırma</w:t>
      </w:r>
      <w:r>
        <w:t xml:space="preserve">, belgelendirmeden sorumludur, </w:t>
      </w:r>
      <w:r w:rsidRPr="00316666">
        <w:t>kanun ve yönetmeliklerin gerektirdiği onay ve belgeleri temin etmek zorundadır.</w:t>
      </w:r>
    </w:p>
    <w:p w:rsidR="00DC0D03" w:rsidRPr="007D099C" w:rsidRDefault="00DC0D03" w:rsidP="00DC0D03">
      <w:pPr>
        <w:pStyle w:val="ListeParagraf"/>
        <w:widowControl/>
        <w:numPr>
          <w:ilvl w:val="0"/>
          <w:numId w:val="2"/>
        </w:numPr>
        <w:autoSpaceDE/>
        <w:autoSpaceDN/>
        <w:spacing w:before="0" w:after="160" w:line="259" w:lineRule="auto"/>
        <w:contextualSpacing/>
        <w:jc w:val="left"/>
      </w:pPr>
      <w:r w:rsidRPr="007D099C">
        <w:t>YÜKLENİCİ, dolum tesislerinden (BOTAŞ) aldığı LNG’yi, LNG taşımaya yönelik üretilen treylerle/tankerle ilgili tesise/tesislere getirerek, mevcut LNG stok tankına/tanklarına dolum yapacaktır. LNG’nin sevk yeri DAĞITIM ŞİRKETİ tarafından belirtilen iş yerlerindeki LNG tanklarıdır. Transfer sırasında tanker hortum bağlantıları ve boşaltma işleri tanker şoförü/operatörü tarafından yapılacaktır. Hortum bağlantıları yapılmış olan tankerin boşaltılması DAĞITIM ŞİRKETİ’nin tesiste yetkili kıldığı operatörün nezaretinde olacak ve treyler boşaltım/tank dolum sahası asla terk edilmeyecektir. Dolum ve/veya boşaltma işlemleri sırasındaki tüm sorumluluklar ve/veya oluşabilecek tüm durumlar YÜKLENİCİ’nin sorumluluğundadır.</w:t>
      </w:r>
    </w:p>
    <w:p w:rsidR="00DC0D03" w:rsidRDefault="00DC0D03" w:rsidP="00DC0D03">
      <w:pPr>
        <w:pStyle w:val="ListeParagraf"/>
        <w:widowControl/>
        <w:numPr>
          <w:ilvl w:val="0"/>
          <w:numId w:val="2"/>
        </w:numPr>
        <w:autoSpaceDE/>
        <w:autoSpaceDN/>
        <w:spacing w:before="0" w:after="160" w:line="259" w:lineRule="auto"/>
        <w:contextualSpacing/>
        <w:jc w:val="left"/>
      </w:pPr>
      <w:r w:rsidRPr="00697F73">
        <w:t xml:space="preserve">Dolum İşlemi, DAĞITIM ŞİRKETİ yetkilisinin tesiste hazır bulunması ve YÜKLENİCİ’nin uygun şartları sağlaması halinde yapılabilecektir. </w:t>
      </w:r>
    </w:p>
    <w:p w:rsidR="00DC0D03" w:rsidRDefault="00DC0D03" w:rsidP="00DC0D03">
      <w:pPr>
        <w:pStyle w:val="ListeParagraf"/>
        <w:widowControl/>
        <w:numPr>
          <w:ilvl w:val="0"/>
          <w:numId w:val="2"/>
        </w:numPr>
        <w:autoSpaceDE/>
        <w:autoSpaceDN/>
        <w:spacing w:before="0" w:after="160" w:line="259" w:lineRule="auto"/>
        <w:contextualSpacing/>
        <w:jc w:val="left"/>
      </w:pPr>
      <w:r w:rsidRPr="00697F73">
        <w:t xml:space="preserve">Dolum öncesinde veya dolum esnasında LNG nakliyesi yapacak treyler/tankerde risk oluşturabilecek bir eksik tespit edilmesi halinde dolum durdurulabilecek veya treyler/tanker tesis içerisine alınamayabilecektir. </w:t>
      </w:r>
    </w:p>
    <w:p w:rsidR="00DC0D03" w:rsidRDefault="00DC0D03" w:rsidP="00DC0D03">
      <w:pPr>
        <w:pStyle w:val="ListeParagraf"/>
        <w:widowControl/>
        <w:numPr>
          <w:ilvl w:val="0"/>
          <w:numId w:val="2"/>
        </w:numPr>
        <w:autoSpaceDE/>
        <w:autoSpaceDN/>
        <w:spacing w:before="0" w:after="160" w:line="259" w:lineRule="auto"/>
        <w:contextualSpacing/>
        <w:jc w:val="left"/>
      </w:pPr>
      <w:r w:rsidRPr="00697F73">
        <w:lastRenderedPageBreak/>
        <w:t>LNG nakliyesi yapacak treyler/tanker dolum sahasına giriş yaptıktan sonra, doluma başlamadan önce mutlaka tank sahasında mevcut bulunan topraklama penseleri ile treyleri/tankeri saha topraklama sistemine bağlayacaktır.</w:t>
      </w:r>
    </w:p>
    <w:p w:rsidR="00DC0D03" w:rsidRDefault="00DC0D03" w:rsidP="00DC0D03">
      <w:pPr>
        <w:pStyle w:val="ListeParagraf"/>
        <w:widowControl/>
        <w:numPr>
          <w:ilvl w:val="0"/>
          <w:numId w:val="2"/>
        </w:numPr>
        <w:autoSpaceDE/>
        <w:autoSpaceDN/>
        <w:spacing w:before="0" w:after="160" w:line="259" w:lineRule="auto"/>
        <w:contextualSpacing/>
        <w:jc w:val="left"/>
      </w:pPr>
      <w:r w:rsidRPr="00697F73">
        <w:t xml:space="preserve">YÜKLENİCİ, LNG’nin tesisteki stok tanklarına nakil ve boşaltım aşamalarında olabilecek muhtemel tehlikelere karşı, kendi personelinin ve DAĞITIM ŞİRKETİ personelinin güvenliğini sağlayacak önlemleri almak zorundadır. </w:t>
      </w:r>
    </w:p>
    <w:p w:rsidR="00DC0D03" w:rsidRDefault="00DC0D03" w:rsidP="00DC0D03">
      <w:pPr>
        <w:pStyle w:val="ListeParagraf"/>
        <w:widowControl/>
        <w:numPr>
          <w:ilvl w:val="0"/>
          <w:numId w:val="2"/>
        </w:numPr>
        <w:autoSpaceDE/>
        <w:autoSpaceDN/>
        <w:spacing w:before="0" w:after="160" w:line="259" w:lineRule="auto"/>
        <w:contextualSpacing/>
        <w:jc w:val="left"/>
      </w:pPr>
      <w:r w:rsidRPr="00697F73">
        <w:t xml:space="preserve">YÜKLENİCİ her türlü yükleme, nakliye, boşaltma, tartım vs. faaliyetlerinde 18.06.2022 tarihli ve 31870 Sayılı ‘‘Tehlikeli Maddelerin Karayoluyla Taşınması Hakkında Yönetmelik’’ hükümlerine ve 11.06.2019 tarih ve 4401 Bakanlık Oluru ile yürürlüğe giren ‘‘Tehlikeli Madde Faaliyet Belgesi düzenlenmesine ilişkin usul ve esaslar hakkındaki Yönerge’’ hükümlerine uyacaktır ve her türlü yükleme, nakliye, boşaltma, tartım ve bu esnada oluşabilecek bütün sorumluluk YÜKLENİCİye ait olacaktır. İlgili belgeler, YÜKLENİCİ firmanın Taşıt Durum Tespit/Taşıt Uygunluk/ADR Uygunluk Belgesi’nin birer kopyalarını DAĞITIM ŞİRKETİ’ ne ibraz edecektir. İbraz edilen belgelerde yapılan değişiklikler ve/veya herhangi bir araç değişikliği durumunda yeni belgeler LNG sevkiyatı öncesinde DAĞITIM ŞİRKETİ’ne ibraz edecektir. </w:t>
      </w:r>
    </w:p>
    <w:p w:rsidR="00DC0D03" w:rsidRDefault="00DC0D03" w:rsidP="00DC0D03">
      <w:pPr>
        <w:pStyle w:val="ListeParagraf"/>
        <w:widowControl/>
        <w:numPr>
          <w:ilvl w:val="0"/>
          <w:numId w:val="2"/>
        </w:numPr>
        <w:autoSpaceDE/>
        <w:autoSpaceDN/>
        <w:spacing w:before="0" w:after="160" w:line="259" w:lineRule="auto"/>
        <w:contextualSpacing/>
        <w:jc w:val="left"/>
      </w:pPr>
      <w:r w:rsidRPr="00697F73">
        <w:t xml:space="preserve">YÜKLENİCİ, LNG nakliyesi yapılan araçta AETR Konvansiyonu’na uygunluk açısından şoför/operatör bulundurmalı ve YÜKLENİCİ lojistik hizmetini başka bir firmadan sağlıyor ise şoför/operatörler hizmet alınan firma bünyesinde sigortalı olmalıdır. Görevlendirilecek personelin belgeleri sözleşme dönemi operasyonuna başlamadan önce DAĞITIM ŞİRKETİ’ne toplu olarak ibraz edilecektir. </w:t>
      </w:r>
    </w:p>
    <w:p w:rsidR="00DC0D03" w:rsidRDefault="00DC0D03" w:rsidP="00DC0D03">
      <w:pPr>
        <w:pStyle w:val="ListeParagraf"/>
        <w:widowControl/>
        <w:numPr>
          <w:ilvl w:val="0"/>
          <w:numId w:val="2"/>
        </w:numPr>
        <w:autoSpaceDE/>
        <w:autoSpaceDN/>
        <w:spacing w:before="0" w:after="160" w:line="259" w:lineRule="auto"/>
        <w:contextualSpacing/>
        <w:jc w:val="left"/>
      </w:pPr>
      <w:r w:rsidRPr="00697F73">
        <w:t>Şoförler/operatörler tek tip nomex elbise giymek, koruyucu maske ve kriyojenik eldiven bulundurmak ve kullanmak zorundadır.</w:t>
      </w:r>
    </w:p>
    <w:p w:rsidR="00DC0D03" w:rsidRDefault="00DC0D03" w:rsidP="00DC0D03">
      <w:pPr>
        <w:pStyle w:val="ListeParagraf"/>
        <w:widowControl/>
        <w:numPr>
          <w:ilvl w:val="0"/>
          <w:numId w:val="2"/>
        </w:numPr>
        <w:autoSpaceDE/>
        <w:autoSpaceDN/>
        <w:spacing w:before="0" w:after="160" w:line="259" w:lineRule="auto"/>
        <w:contextualSpacing/>
        <w:jc w:val="left"/>
      </w:pPr>
      <w:r w:rsidRPr="00697F73">
        <w:t>LNG</w:t>
      </w:r>
      <w:r>
        <w:t xml:space="preserve"> </w:t>
      </w:r>
      <w:r w:rsidRPr="00697F73">
        <w:t>taşıyan</w:t>
      </w:r>
      <w:r>
        <w:t xml:space="preserve"> </w:t>
      </w:r>
      <w:r w:rsidRPr="00697F73">
        <w:t>treylerler/tankerler, bu</w:t>
      </w:r>
      <w:r>
        <w:t xml:space="preserve"> </w:t>
      </w:r>
      <w:r w:rsidRPr="00697F73">
        <w:t>amaç için tekniğine</w:t>
      </w:r>
      <w:r>
        <w:t xml:space="preserve"> </w:t>
      </w:r>
      <w:r w:rsidRPr="00697F73">
        <w:t>uygun olarak yapılmış</w:t>
      </w:r>
      <w:r>
        <w:t xml:space="preserve"> </w:t>
      </w:r>
      <w:r w:rsidRPr="00697F73">
        <w:t>olmalı ve bir seviye göstergesi ile yeterli kapasitede kullanılabilir durumda yangın söndürme cihazı ile donatılmış olmalıdır.</w:t>
      </w:r>
    </w:p>
    <w:p w:rsidR="00DC0D03" w:rsidRDefault="00DC0D03" w:rsidP="00DC0D03">
      <w:pPr>
        <w:pStyle w:val="ListeParagraf"/>
        <w:widowControl/>
        <w:numPr>
          <w:ilvl w:val="0"/>
          <w:numId w:val="2"/>
        </w:numPr>
        <w:autoSpaceDE/>
        <w:autoSpaceDN/>
        <w:spacing w:before="0" w:after="160" w:line="259" w:lineRule="auto"/>
        <w:contextualSpacing/>
        <w:jc w:val="left"/>
      </w:pPr>
      <w:r w:rsidRPr="00697F73">
        <w:t xml:space="preserve">YÜKLENİCİ firma nakil veya boşaltma işlemlerinde olası muhtemel kazalara karşı gerekli tedbirleri almakla yükümlü olup, meydana gelebilecek her türlü kaçak, iş kazası ile zarar ve ziyandan DAĞITIM ŞİRKETİ’ne karşı sorumludur. </w:t>
      </w:r>
    </w:p>
    <w:p w:rsidR="00DC0D03" w:rsidRDefault="00DC0D03" w:rsidP="00DC0D03">
      <w:pPr>
        <w:pStyle w:val="ListeParagraf"/>
        <w:widowControl/>
        <w:numPr>
          <w:ilvl w:val="0"/>
          <w:numId w:val="2"/>
        </w:numPr>
        <w:autoSpaceDE/>
        <w:autoSpaceDN/>
        <w:spacing w:before="0" w:after="160" w:line="259" w:lineRule="auto"/>
        <w:contextualSpacing/>
        <w:jc w:val="left"/>
      </w:pPr>
      <w:r w:rsidRPr="00697F73">
        <w:t xml:space="preserve">YÜKLENİCİ firma kendi personelinin sevk ve idaresinden sorumludur. Personelleri DAĞITIM ŞİRKETİ işyeri disiplinine uygun olarak çalışacak, aksi durumlarda, disipline uymayan personel iş sahasından uzaklaştırılacaktır. </w:t>
      </w:r>
    </w:p>
    <w:p w:rsidR="00DC0D03" w:rsidRDefault="00DC0D03" w:rsidP="00DC0D03">
      <w:pPr>
        <w:pStyle w:val="ListeParagraf"/>
        <w:widowControl/>
        <w:numPr>
          <w:ilvl w:val="0"/>
          <w:numId w:val="2"/>
        </w:numPr>
        <w:autoSpaceDE/>
        <w:autoSpaceDN/>
        <w:spacing w:before="0" w:after="160" w:line="259" w:lineRule="auto"/>
        <w:contextualSpacing/>
        <w:jc w:val="left"/>
      </w:pPr>
      <w:r w:rsidRPr="00697F73">
        <w:t>LNG nakliyesi yapacak treylerlere/tankerlere ait yetkili kuruluştan alınan kalite sertifikası veya ilk muayene sertifikasının (3rd Party Initian Sample Report) bir kopyası DAĞITIM ŞİRKETİ’ne ibraz edilecektir.</w:t>
      </w:r>
    </w:p>
    <w:p w:rsidR="00DC0D03" w:rsidRDefault="00DC0D03" w:rsidP="00DC0D03">
      <w:pPr>
        <w:pStyle w:val="ListeParagraf"/>
        <w:widowControl/>
        <w:numPr>
          <w:ilvl w:val="0"/>
          <w:numId w:val="2"/>
        </w:numPr>
        <w:autoSpaceDE/>
        <w:autoSpaceDN/>
        <w:spacing w:before="0" w:after="160" w:line="259" w:lineRule="auto"/>
        <w:contextualSpacing/>
        <w:jc w:val="left"/>
      </w:pPr>
      <w:r w:rsidRPr="00697F73">
        <w:t xml:space="preserve">Tesise LNG taşıması yapacak YÜKLENİCİ firmanın Taşıt Durum Tespit/Taşıt Uygunluk/ADR Uygunluk Belgesi’nin birer kopyalarını DAĞITIM ŞİRKETİ’ne ibraz edecektir. </w:t>
      </w:r>
    </w:p>
    <w:p w:rsidR="00DC0D03" w:rsidRDefault="00DC0D03" w:rsidP="00DC0D03">
      <w:pPr>
        <w:pStyle w:val="ListeParagraf"/>
        <w:widowControl/>
        <w:numPr>
          <w:ilvl w:val="0"/>
          <w:numId w:val="2"/>
        </w:numPr>
        <w:autoSpaceDE/>
        <w:autoSpaceDN/>
        <w:spacing w:before="0" w:after="160" w:line="259" w:lineRule="auto"/>
        <w:contextualSpacing/>
        <w:jc w:val="left"/>
      </w:pPr>
      <w:r w:rsidRPr="00697F73">
        <w:t xml:space="preserve">İkmal için DAĞITIM ŞİRKETİ’nin tesisine gelen treyler/tanker, ikmal işini tamamlandıktan sonra en kısa zamanda tesisi terk edecektir. </w:t>
      </w:r>
    </w:p>
    <w:p w:rsidR="00DC0D03" w:rsidRDefault="00DC0D03" w:rsidP="00DC0D03">
      <w:pPr>
        <w:pStyle w:val="ListeParagraf"/>
        <w:widowControl/>
        <w:numPr>
          <w:ilvl w:val="0"/>
          <w:numId w:val="2"/>
        </w:numPr>
        <w:autoSpaceDE/>
        <w:autoSpaceDN/>
        <w:spacing w:before="0" w:after="160" w:line="259" w:lineRule="auto"/>
        <w:contextualSpacing/>
        <w:jc w:val="left"/>
      </w:pPr>
      <w:r w:rsidRPr="00697F73">
        <w:t>Tesis mahalli içinde LNG’nin tanka/tanklara boşaltması aşamasında İş Sağlığı ve Güvenliği (İSG)’ne gör</w:t>
      </w:r>
      <w:r>
        <w:t>e doğabilecek risklerden ve</w:t>
      </w:r>
      <w:r w:rsidRPr="00697F73">
        <w:t xml:space="preserve"> diğer ilgili mevzuat hükümlerine göre tedbirlerin alınmamasından doğacak her türlü iş kazası ile üçüncü şahıslara vermiş olduğu zarar ve ziyandan (maddi zarar, yaralanma, ölüm vb.) YÜKLENİCİ sorumludur.</w:t>
      </w:r>
    </w:p>
    <w:p w:rsidR="00DC0D03" w:rsidRDefault="00DC0D03" w:rsidP="00DC0D03">
      <w:pPr>
        <w:pStyle w:val="ListeParagraf"/>
        <w:widowControl/>
        <w:numPr>
          <w:ilvl w:val="0"/>
          <w:numId w:val="2"/>
        </w:numPr>
        <w:autoSpaceDE/>
        <w:autoSpaceDN/>
        <w:spacing w:before="0" w:after="160" w:line="259" w:lineRule="auto"/>
        <w:contextualSpacing/>
        <w:jc w:val="left"/>
      </w:pPr>
      <w:r w:rsidRPr="00FC4BAE">
        <w:t xml:space="preserve">LNG ikmali yapacak treyler/tankerler, karayolları “Trafik Yönetmeliği” ve “Tehlikeli Maddelerin Karayolu ile Taşınması Hakkındaki Yönetmelik” hükümlerine uygun olacaktır. YÜKLENİCİ, sözleşme dönemi operasyonuna başlamadan önce sevkiyat yapacak treyler/tankerlerin; “Tehlikeli Maddeler ve Tehlikeli Atık Zorunlu Mali Sorumluluk Sigortası” ve “Karayolları Motorlu Araçlar Zorunlu Mali Sorumluluk (Kasko) Sigortası” poliçeleri ile operatörler için de “SRC5” ehliyetlerini DAĞITIM ŞİRKETİ’ne toplu olarak ibraz etmek zorundadır. Sözleşme süresi içerisinde görevlendirilecek personellerde veya </w:t>
      </w:r>
      <w:r w:rsidRPr="00FC4BAE">
        <w:lastRenderedPageBreak/>
        <w:t xml:space="preserve">ikmal yapacak tankerlerde değişiklik olması halinde YÜKLENİCİ tarafından DAĞITIM ŞİRKETİ’ne bilgi verilecek olup personel ve tanker belgeleri bilgilendirme ile birlikte DAĞITIM ŞİRKETİ’ne ibraz edilecektir. </w:t>
      </w:r>
    </w:p>
    <w:p w:rsidR="00DC0D03" w:rsidRDefault="00DC0D03" w:rsidP="00DC0D03">
      <w:pPr>
        <w:pStyle w:val="ListeParagraf"/>
        <w:widowControl/>
        <w:numPr>
          <w:ilvl w:val="0"/>
          <w:numId w:val="2"/>
        </w:numPr>
        <w:autoSpaceDE/>
        <w:autoSpaceDN/>
        <w:spacing w:before="0" w:after="160" w:line="259" w:lineRule="auto"/>
        <w:contextualSpacing/>
        <w:jc w:val="left"/>
      </w:pPr>
      <w:r w:rsidRPr="00FC4BAE">
        <w:t xml:space="preserve">YÜKLENİCİ iş bu teknik şartnamede yer alan sayılan/talep edilen işlemlerin ve/veya belgelerin gerekli kısmını sözleşme imzalanmasından hemen sonra diğer kısmını da her bir sevkiyat öncesi DAĞITIM ŞİRKETİ’ne sunacaktır. Bu maddede kapsamda talep edilen belgelerin zamanında DAĞITIM ŞİRKETİ’ne ulaştırılmaması durumunda ve/veya talep edilen işlemlerin gerçekleştirilmemesi durumunda, LNG treyleri/tankeri sahaya gelmiş olsa bile, içeri alınmayacak, LNG transferi yapılmasına izin verilmeyecektir. </w:t>
      </w:r>
    </w:p>
    <w:p w:rsidR="00DC0D03" w:rsidRDefault="00DC0D03" w:rsidP="00DC0D03">
      <w:pPr>
        <w:pStyle w:val="ListeParagraf"/>
        <w:widowControl/>
        <w:numPr>
          <w:ilvl w:val="0"/>
          <w:numId w:val="2"/>
        </w:numPr>
        <w:autoSpaceDE/>
        <w:autoSpaceDN/>
        <w:spacing w:before="0" w:after="160" w:line="259" w:lineRule="auto"/>
        <w:contextualSpacing/>
        <w:jc w:val="left"/>
      </w:pPr>
      <w:r w:rsidRPr="00FC4BAE">
        <w:t xml:space="preserve">Kromatograf bulunmayan istasyonlarda her ikmalde, ikmali yapılan LNG’nin kalite değerleri, ikmalin yapıldığı gün DAĞITIM ŞİRKETİ’ne sözleşmede yer alan kayıtlı elektronik posta ile iletilecektir. </w:t>
      </w:r>
    </w:p>
    <w:p w:rsidR="00DC0D03" w:rsidRDefault="00DC0D03" w:rsidP="00DC0D03">
      <w:pPr>
        <w:pStyle w:val="ListeParagraf"/>
        <w:widowControl/>
        <w:numPr>
          <w:ilvl w:val="0"/>
          <w:numId w:val="2"/>
        </w:numPr>
        <w:autoSpaceDE/>
        <w:autoSpaceDN/>
        <w:spacing w:before="0" w:after="160" w:line="259" w:lineRule="auto"/>
        <w:contextualSpacing/>
        <w:jc w:val="left"/>
      </w:pPr>
      <w:r w:rsidRPr="00FC4BAE">
        <w:t xml:space="preserve">YÜKLENİCİ 24 saat ulaşılabilir telefon numaralarını ve adres bilgilerini Dağıtım Şirketi’ne verecektir.  </w:t>
      </w:r>
    </w:p>
    <w:p w:rsidR="00DC0D03" w:rsidRDefault="00DC0D03" w:rsidP="00DC0D03">
      <w:pPr>
        <w:pStyle w:val="ListeParagraf"/>
        <w:widowControl/>
        <w:numPr>
          <w:ilvl w:val="0"/>
          <w:numId w:val="2"/>
        </w:numPr>
        <w:autoSpaceDE/>
        <w:autoSpaceDN/>
        <w:spacing w:before="0" w:after="160" w:line="259" w:lineRule="auto"/>
        <w:contextualSpacing/>
        <w:jc w:val="left"/>
      </w:pPr>
      <w:r w:rsidRPr="00FC4BAE">
        <w:t xml:space="preserve">YÜKLENİCİ DAĞITIM ŞİRKETİ’ nin mevsim koşulları, yol süreleri, çekiş dalgalanmaları ve tüketim öngörülerini dikkate alarak oluşturduğu tank kapasitesi artış talebini asgari sürede sağlayacak ve tesis’te en az </w:t>
      </w:r>
      <w:r>
        <w:t>40 m3’lük kullanılabilir</w:t>
      </w:r>
      <w:r w:rsidRPr="00FC4BAE">
        <w:t xml:space="preserve"> şekilde stok bulunduracaktır. Tesis LNG stoku</w:t>
      </w:r>
      <w:r>
        <w:t xml:space="preserve"> takibi</w:t>
      </w:r>
      <w:r w:rsidRPr="00FC4BAE">
        <w:t xml:space="preserve"> YÜKLENİCİ tarafından kurulacak olan uzaktan okuma ve takip sistemi aracılığı ile yapılacak olup, DAĞITIM ŞİRKETİ’nin ilave bir bildirim yükümlülüğü bulunmamaktadır. </w:t>
      </w:r>
    </w:p>
    <w:p w:rsidR="00DC0D03" w:rsidRDefault="00DC0D03" w:rsidP="00DC0D03">
      <w:pPr>
        <w:pStyle w:val="ListeParagraf"/>
        <w:widowControl/>
        <w:numPr>
          <w:ilvl w:val="0"/>
          <w:numId w:val="2"/>
        </w:numPr>
        <w:autoSpaceDE/>
        <w:autoSpaceDN/>
        <w:spacing w:before="0" w:after="160" w:line="259" w:lineRule="auto"/>
        <w:contextualSpacing/>
        <w:jc w:val="left"/>
      </w:pPr>
      <w:r w:rsidRPr="00FC4BAE">
        <w:t xml:space="preserve">LNG alımları, aksi kararlaştırılmadığı sürece, her bir talep için ‘1’ (bir) tam dolu Tanker olacak şekilde yapılacaktır. </w:t>
      </w:r>
    </w:p>
    <w:p w:rsidR="00DC0D03" w:rsidRDefault="00DC0D03" w:rsidP="00DC0D03">
      <w:pPr>
        <w:pStyle w:val="ListeParagraf"/>
        <w:widowControl/>
        <w:numPr>
          <w:ilvl w:val="0"/>
          <w:numId w:val="2"/>
        </w:numPr>
        <w:autoSpaceDE/>
        <w:autoSpaceDN/>
        <w:spacing w:before="0" w:after="160" w:line="259" w:lineRule="auto"/>
        <w:contextualSpacing/>
        <w:jc w:val="left"/>
      </w:pPr>
      <w:r w:rsidRPr="00FC4BAE">
        <w:t>YÜKLENİCİ, Teslim Noktasınd</w:t>
      </w:r>
      <w:r>
        <w:t>a doğal gazı 4 barg</w:t>
      </w:r>
      <w:r w:rsidRPr="00FC4BAE">
        <w:t xml:space="preserve"> verecektir. DAĞITIM ŞİRKETİ arz güvenliği açısından 4 barg’nin yeterli olmadığına ilişkin teknik bir değerlendirme yapması halinde, YÜKLENİCİ’nin basıncı</w:t>
      </w:r>
      <w:r>
        <w:t xml:space="preserve"> artırmasını talep edilebilecek.</w:t>
      </w:r>
      <w:r w:rsidRPr="00FC4BAE">
        <w:t xml:space="preserve"> </w:t>
      </w:r>
    </w:p>
    <w:p w:rsidR="00DC0D03" w:rsidRDefault="00DC0D03" w:rsidP="00DC0D03">
      <w:pPr>
        <w:pStyle w:val="ListeParagraf"/>
        <w:widowControl/>
        <w:numPr>
          <w:ilvl w:val="0"/>
          <w:numId w:val="2"/>
        </w:numPr>
        <w:autoSpaceDE/>
        <w:autoSpaceDN/>
        <w:spacing w:before="0" w:after="160" w:line="259" w:lineRule="auto"/>
        <w:contextualSpacing/>
        <w:jc w:val="left"/>
      </w:pPr>
      <w:r w:rsidRPr="00FC4BAE">
        <w:t>LNG tankından sıvı doğalg</w:t>
      </w:r>
      <w:r>
        <w:t>azı gazlaştırma işlemi için</w:t>
      </w:r>
      <w:r w:rsidRPr="00FC4BAE">
        <w:t xml:space="preserve">, </w:t>
      </w:r>
      <w:r>
        <w:t>80 KWA geçmeyecek yeterli kapasitede,</w:t>
      </w:r>
      <w:r w:rsidRPr="00FC4BAE">
        <w:t xml:space="preserve"> ex-proof </w:t>
      </w:r>
      <w:r>
        <w:t xml:space="preserve">bir </w:t>
      </w:r>
      <w:r w:rsidRPr="00FC4BAE">
        <w:t>ısıtma sistemi YÜKLENİCİ tarafından temin edilerek kurulumu gerçekleştirilecektir.</w:t>
      </w:r>
      <w:r>
        <w:t xml:space="preserve"> İ</w:t>
      </w:r>
      <w:r w:rsidRPr="00FC4BAE">
        <w:t xml:space="preserve">lave bir ısıtıcı sistem kurulması gerekmesi durumunda </w:t>
      </w:r>
      <w:r>
        <w:t>yüklenici bunu sağlayacaktır.</w:t>
      </w:r>
    </w:p>
    <w:p w:rsidR="00DC0D03" w:rsidRDefault="00DC0D03" w:rsidP="00DC0D03">
      <w:pPr>
        <w:pStyle w:val="ListeParagraf"/>
        <w:widowControl/>
        <w:numPr>
          <w:ilvl w:val="0"/>
          <w:numId w:val="2"/>
        </w:numPr>
        <w:autoSpaceDE/>
        <w:autoSpaceDN/>
        <w:spacing w:before="0" w:after="160" w:line="259" w:lineRule="auto"/>
        <w:contextualSpacing/>
        <w:jc w:val="left"/>
      </w:pPr>
      <w:r w:rsidRPr="00FC4BAE">
        <w:t>LNG teslimatı DAĞITIM ŞİRKETİ’nin talep etmesi</w:t>
      </w:r>
      <w:r>
        <w:t xml:space="preserve"> </w:t>
      </w:r>
      <w:r w:rsidRPr="00FC4BAE">
        <w:t xml:space="preserve">durumunda 7 gün/24 saat, bayram tatillerinde de yapılabilecektir. </w:t>
      </w:r>
    </w:p>
    <w:p w:rsidR="00DC0D03" w:rsidRDefault="00DC0D03" w:rsidP="00DC0D03">
      <w:pPr>
        <w:pStyle w:val="ListeParagraf"/>
        <w:widowControl/>
        <w:numPr>
          <w:ilvl w:val="0"/>
          <w:numId w:val="2"/>
        </w:numPr>
        <w:autoSpaceDE/>
        <w:autoSpaceDN/>
        <w:spacing w:before="0" w:after="160" w:line="259" w:lineRule="auto"/>
        <w:contextualSpacing/>
        <w:jc w:val="left"/>
      </w:pPr>
      <w:r w:rsidRPr="00FC4BAE">
        <w:t xml:space="preserve">YÜKLENİCİ, DAĞITIM ŞİRKETİ'nin tesiste görevli personellerine sistemde karşılaşılabilecek temel problemlerle ilgili eğitim verecektir. DAĞITIM ŞİRKETİ’nin tesis’te görevli personeli, Acil Müdahale gerektirmeyen arıza durumunda YÜKLENİCİ’yi bilgilendirecektir, YÜKLENİCİ teknik ekibi en geç 8 (sekiz) saat içerisinde arızaya müdahale etmekle yükümlüdür. Acil Müdahale gerektiren durumlarda derhal müdahale edilecektir. YÜKLENİCİ teknik ekipleri yılın 365 günü 24 saat destek esasına göre hizmet verecektir. </w:t>
      </w:r>
    </w:p>
    <w:p w:rsidR="00DC0D03" w:rsidRDefault="00DC0D03" w:rsidP="00DC0D03">
      <w:pPr>
        <w:pStyle w:val="ListeParagraf"/>
        <w:widowControl/>
        <w:numPr>
          <w:ilvl w:val="0"/>
          <w:numId w:val="2"/>
        </w:numPr>
        <w:autoSpaceDE/>
        <w:autoSpaceDN/>
        <w:spacing w:before="0" w:after="160" w:line="259" w:lineRule="auto"/>
        <w:contextualSpacing/>
        <w:jc w:val="left"/>
      </w:pPr>
      <w:r w:rsidRPr="00FC4BAE">
        <w:t xml:space="preserve">YÜKLENİCİ tank/tankların doluluk seviyesini takip edecek ve her ne şartta olursa olsun tankın/tankların %30 ile %90 arasında olmasını sağlayacaktır. </w:t>
      </w:r>
    </w:p>
    <w:p w:rsidR="00DC0D03" w:rsidRDefault="00DC0D03" w:rsidP="00DC0D03">
      <w:pPr>
        <w:pStyle w:val="ListeParagraf"/>
        <w:widowControl/>
        <w:numPr>
          <w:ilvl w:val="0"/>
          <w:numId w:val="2"/>
        </w:numPr>
        <w:autoSpaceDE/>
        <w:autoSpaceDN/>
        <w:spacing w:before="0" w:after="160" w:line="259" w:lineRule="auto"/>
        <w:contextualSpacing/>
        <w:jc w:val="left"/>
      </w:pPr>
      <w:r w:rsidRPr="00FC4BAE">
        <w:t xml:space="preserve">DAĞITIM ŞİRKETİ, İhale İlanında yer alan ve satın alınacak miktarları, ihtiyaca göre değiştirebilir ve makul sürede bildirir. İhale İlanında belirtilen zaman ve miktarlar kadar alım yapılmaması halinde YÜKLENİCİ’nin, DAĞITIM ŞİRKETİ’den her ne nam altında olursa olsun zarar, gider vs. talep hakkı bulunmamaktadır. DAĞITIM ŞİRKETİ herhangi bir sebeple (tesislerinde önemli arıza, büyük bakım-onarım, yenileme, doğal afet, vb.) LNG sevkiyatını azaltabilir ve/veya durdurabilir. Bu tür durumlarda DAĞITIM ŞİRKETİ’ın YÜKLENİCİ’ye karşı herhangi bir zarar, masraf, gider, her ne nam altında olursa olsun tazmin yükümlülüğü bulunmamaktadır. DAĞITIM ŞİRKETİ sadece ölçüm noktasında ölçümü yapılan LNG miktarı karşılığını YÜKLENİCİ’ye ödeme sorumluluğu bulunmaktadır. </w:t>
      </w:r>
    </w:p>
    <w:p w:rsidR="00DC0D03" w:rsidRDefault="00DC0D03" w:rsidP="00DC0D03">
      <w:pPr>
        <w:pStyle w:val="ListeParagraf"/>
        <w:widowControl/>
        <w:numPr>
          <w:ilvl w:val="0"/>
          <w:numId w:val="2"/>
        </w:numPr>
        <w:autoSpaceDE/>
        <w:autoSpaceDN/>
        <w:spacing w:before="0" w:after="160" w:line="259" w:lineRule="auto"/>
        <w:contextualSpacing/>
        <w:jc w:val="left"/>
      </w:pPr>
      <w:r w:rsidRPr="00FC4BAE">
        <w:t>Sözleşme aşamasında sunulması zorunlu olan belgelerin işin yürürlüğü esnasında her ne sebeple olursa olsun iptal olması, belge geçerlilik süresinin dolması, mevzuattan</w:t>
      </w:r>
      <w:r>
        <w:t xml:space="preserve"> </w:t>
      </w:r>
      <w:r w:rsidRPr="00FC4BAE">
        <w:t xml:space="preserve">kaynaklanan değişikliğe uygun hale getirilmemesi vs. gibi geçerliliğinin yitirildiği hallerde, durum derhal DAĞITIM ŞİRKETİ’ne bildirilecektir. Bu husustaki tedbirleri alma </w:t>
      </w:r>
      <w:r w:rsidRPr="00FC4BAE">
        <w:lastRenderedPageBreak/>
        <w:t xml:space="preserve">yükümlülüğü YÜKLENİCİ’ye ait olup alınmamış ve bildirim yapılmamış olması sözleşmenin fesih nedenidir. </w:t>
      </w:r>
    </w:p>
    <w:p w:rsidR="00DC0D03" w:rsidRDefault="00DC0D03" w:rsidP="00DC0D03">
      <w:pPr>
        <w:pStyle w:val="ListeParagraf"/>
        <w:widowControl/>
        <w:numPr>
          <w:ilvl w:val="0"/>
          <w:numId w:val="2"/>
        </w:numPr>
        <w:autoSpaceDE/>
        <w:autoSpaceDN/>
        <w:spacing w:before="0" w:after="160" w:line="259" w:lineRule="auto"/>
        <w:contextualSpacing/>
        <w:jc w:val="left"/>
      </w:pPr>
      <w:r w:rsidRPr="00FC4BAE">
        <w:t>YÜKLENİCİ tarafından tesis’te yangının algılanmasını sağlayacak (alev dedektörü, duman dedektörü benzeri) yangın algılama sistemleri kurulmalıdır. Patlamadan Korunma Dokümanında tehlikeli bölge olarak sınıflandırılan alanlarda kullanılacak elektronik gaz algılama cihazları ex-proof özellikte olmalıdır</w:t>
      </w:r>
      <w:r>
        <w:t>.</w:t>
      </w:r>
      <w:r w:rsidRPr="00FC4BAE">
        <w:t xml:space="preserve"> </w:t>
      </w:r>
    </w:p>
    <w:p w:rsidR="00DC0D03" w:rsidRDefault="00DC0D03" w:rsidP="00DC0D03">
      <w:pPr>
        <w:pStyle w:val="ListeParagraf"/>
        <w:widowControl/>
        <w:numPr>
          <w:ilvl w:val="0"/>
          <w:numId w:val="2"/>
        </w:numPr>
        <w:autoSpaceDE/>
        <w:autoSpaceDN/>
        <w:spacing w:before="0" w:after="160" w:line="259" w:lineRule="auto"/>
        <w:contextualSpacing/>
        <w:jc w:val="left"/>
      </w:pPr>
      <w:r w:rsidRPr="00FC4BAE">
        <w:t xml:space="preserve">YÜKLENİCİ tarafından acil durumlarda, yangın söndürme ve acil aydınlatma hariç, LNG sisteminin elektriğini kesen, LNG akışını durduran, sesli ikaz veren acil durdurma buton sistemi kurulmalıdır. İdari ofiste bir adet, basınç düşürme sistemi yakınında bir adet ve her bir dağıtım ünitesi üzerinde birer adet acil durdurma butonunu bulunmalıdır. Butonlar kolay erişilebilir noktalara yerleştirilmelidir. </w:t>
      </w:r>
    </w:p>
    <w:p w:rsidR="00DC0D03" w:rsidRDefault="00DC0D03" w:rsidP="00DC0D03">
      <w:pPr>
        <w:pStyle w:val="ListeParagraf"/>
        <w:widowControl/>
        <w:numPr>
          <w:ilvl w:val="0"/>
          <w:numId w:val="2"/>
        </w:numPr>
        <w:autoSpaceDE/>
        <w:autoSpaceDN/>
        <w:spacing w:before="0" w:after="160" w:line="259" w:lineRule="auto"/>
        <w:contextualSpacing/>
        <w:jc w:val="left"/>
      </w:pPr>
      <w:r w:rsidRPr="00FC4BAE">
        <w:t>YÜKLENİCİ tarafından Tesis’te özellikle gerçekleşmesi muhtemel gaz kaçaklarını algılayacak ex-proof gaz kaçak sensörleri kullanılmalıdır. Gaz kaçağı anında kumanda panosu aracılığıyla sesli alarm devreye girmeli ve gaz kesilmelidir.</w:t>
      </w:r>
    </w:p>
    <w:p w:rsidR="00DC0D03" w:rsidRDefault="00DC0D03" w:rsidP="00DC0D03">
      <w:pPr>
        <w:pStyle w:val="ListeParagraf"/>
        <w:widowControl/>
        <w:numPr>
          <w:ilvl w:val="0"/>
          <w:numId w:val="2"/>
        </w:numPr>
        <w:autoSpaceDE/>
        <w:autoSpaceDN/>
        <w:spacing w:before="0" w:after="160" w:line="259" w:lineRule="auto"/>
        <w:contextualSpacing/>
        <w:jc w:val="left"/>
      </w:pPr>
      <w:r w:rsidRPr="00FC4BAE">
        <w:t>YÜKLENİCİ, sistem basıncının müsaade edilen basıncın üzerine çıkması durumunda, kendiliğinden devreye giren, CE sertifikalı gaz emniyet ventillerini bulundurmalıdır.</w:t>
      </w:r>
    </w:p>
    <w:p w:rsidR="00DC0D03" w:rsidRDefault="00DC0D03" w:rsidP="00DC0D03">
      <w:pPr>
        <w:pStyle w:val="ListeParagraf"/>
        <w:widowControl/>
        <w:numPr>
          <w:ilvl w:val="0"/>
          <w:numId w:val="2"/>
        </w:numPr>
        <w:autoSpaceDE/>
        <w:autoSpaceDN/>
        <w:spacing w:before="0" w:after="160" w:line="259" w:lineRule="auto"/>
        <w:contextualSpacing/>
        <w:jc w:val="left"/>
      </w:pPr>
      <w:r>
        <w:t xml:space="preserve">YÜKLENİCİ, </w:t>
      </w:r>
      <w:r w:rsidRPr="00FC4BAE">
        <w:t>Tesis içerisinde; giriş çıkış bölgelerinin, dağıtım ünitelerinin ve ölçüm sistemi mahallinin takip edilmesine imkân verecek sayıda kamera, bu kameraların kayıtlarını depolayabilecek kayıt cihazı ve kayıtları izlemeye olanak verecek bir ekrandan oluşan bir uzaktan izleme &amp; kamera sistemi kurulmalıdır.</w:t>
      </w:r>
      <w:r>
        <w:t xml:space="preserve"> Dağıtım Şirketine kullanma yetkisi verilmelidir.</w:t>
      </w:r>
      <w:r w:rsidRPr="00FC4BAE">
        <w:t xml:space="preserve"> Sistem asgari </w:t>
      </w:r>
      <w:r>
        <w:t>15</w:t>
      </w:r>
      <w:r w:rsidRPr="00FC4BAE">
        <w:t xml:space="preserve"> (</w:t>
      </w:r>
      <w:r>
        <w:t>onbeş</w:t>
      </w:r>
      <w:r w:rsidRPr="00FC4BAE">
        <w:t xml:space="preserve">) günlük görüntü kaydı depolayabilmelidir. Sistemin kurulum ve işletilmesinden </w:t>
      </w:r>
      <w:r>
        <w:t>YÜKLENİCİ</w:t>
      </w:r>
      <w:r w:rsidRPr="00FC4BAE">
        <w:t xml:space="preserve"> sorumludur. </w:t>
      </w:r>
    </w:p>
    <w:p w:rsidR="00DC0D03" w:rsidRDefault="00DC0D03" w:rsidP="00DC0D03">
      <w:pPr>
        <w:pStyle w:val="ListeParagraf"/>
        <w:widowControl/>
        <w:numPr>
          <w:ilvl w:val="0"/>
          <w:numId w:val="2"/>
        </w:numPr>
        <w:autoSpaceDE/>
        <w:autoSpaceDN/>
        <w:spacing w:before="0" w:after="160" w:line="259" w:lineRule="auto"/>
        <w:contextualSpacing/>
        <w:jc w:val="left"/>
      </w:pPr>
      <w:r w:rsidRPr="00FC4BAE">
        <w:t xml:space="preserve">Tesis’te kullanılacak elektrikli ekipmanlar Patlamadan Korunma Dokümanında belirtilen kriterlere uygun özellikte seçilmelidir. Patlamadan Korunma Dokümanında belirlenen tehlikeli bölgelerde, bölgenin tehlike durumuna bağlı olarak yine dokümanda belirlenen ATEX sertifikalı alev kaçırmaz (ex-proof) elemanlar kullanılmalıdır. Dağıtım Şirketi ve YÜKLENİCİ Tesis’te yükümlülüğü olan işlerde müstakilen bu kurala uymalıdır. </w:t>
      </w:r>
    </w:p>
    <w:p w:rsidR="00DC0D03" w:rsidRDefault="00DC0D03" w:rsidP="00DC0D03">
      <w:pPr>
        <w:pStyle w:val="ListeParagraf"/>
        <w:widowControl/>
        <w:numPr>
          <w:ilvl w:val="0"/>
          <w:numId w:val="2"/>
        </w:numPr>
        <w:autoSpaceDE/>
        <w:autoSpaceDN/>
        <w:spacing w:before="0" w:after="160" w:line="259" w:lineRule="auto"/>
        <w:contextualSpacing/>
        <w:jc w:val="left"/>
      </w:pPr>
      <w:r w:rsidRPr="00FC4BAE">
        <w:t xml:space="preserve">YÜKLENİCİ, tesis ana elektrik enerji panosundan itibaren imalat ve montajın tarafına ait olduğu ekipmanlara elektrik enerji hatlarının çekilmesi ve bağlantılarının yapılmasından sorumludur, bu bağlantılarda kullanılan malzemeler YÜKLENİCİ tarafından karşılanacaktır. </w:t>
      </w:r>
    </w:p>
    <w:p w:rsidR="00DC0D03" w:rsidRDefault="00DC0D03" w:rsidP="00DC0D03">
      <w:pPr>
        <w:pStyle w:val="ListeParagraf"/>
        <w:widowControl/>
        <w:numPr>
          <w:ilvl w:val="0"/>
          <w:numId w:val="2"/>
        </w:numPr>
        <w:autoSpaceDE/>
        <w:autoSpaceDN/>
        <w:spacing w:before="0" w:after="160" w:line="259" w:lineRule="auto"/>
        <w:contextualSpacing/>
        <w:jc w:val="left"/>
      </w:pPr>
      <w:r>
        <w:t>S</w:t>
      </w:r>
      <w:r w:rsidRPr="00FC4BAE">
        <w:t xml:space="preserve">özleşmede ve LNG Teknik Şartnamesinde yazılmayan hususlarda dağıtım şirketinin hükümleri geçerlidir. </w:t>
      </w:r>
    </w:p>
    <w:p w:rsidR="00DC0D03" w:rsidRDefault="00DC0D03" w:rsidP="00DC0D03">
      <w:pPr>
        <w:pStyle w:val="ListeParagraf"/>
        <w:widowControl/>
        <w:numPr>
          <w:ilvl w:val="0"/>
          <w:numId w:val="2"/>
        </w:numPr>
        <w:autoSpaceDE/>
        <w:autoSpaceDN/>
        <w:spacing w:before="0" w:after="160" w:line="259" w:lineRule="auto"/>
        <w:contextualSpacing/>
        <w:jc w:val="left"/>
      </w:pPr>
      <w:r w:rsidRPr="00FC4BAE">
        <w:t>Sözleşme süresinin sona ermesi ve/veya feshi durumlarında ihalenin/doğrudan teminin farklı bir YÜKLENİCİ tarafından alınması halinde, bir önceki YÜKLENİCİ tarafından kurulan ve çalışır pozisyonda olan mevcut sistem ancak yeni YÜKLENİCİnin kendi sistemini kurması ve devreye alması sonrası devre dışı bırakılacaktır. Bir önceki YÜKLENİCİ tarafından CNG veya LNG boşaltım tesisinde kurulan tank ve gerekli ekipmanların montaj ve demontaj işlemleri ile nakliye, taşıma vb. tüm işler YÜKLENİCİnin sorumluluğunda olup, tüm bu işlemler için Dağıtım Şirketinden herhangi bir bedel talep edilmeyecektir.</w:t>
      </w:r>
    </w:p>
    <w:p w:rsidR="00C1625F" w:rsidRDefault="00C1625F">
      <w:pPr>
        <w:pStyle w:val="GvdeMetni"/>
        <w:spacing w:before="0"/>
        <w:ind w:left="0" w:firstLine="0"/>
        <w:jc w:val="left"/>
        <w:rPr>
          <w:sz w:val="26"/>
        </w:rPr>
      </w:pPr>
    </w:p>
    <w:p w:rsidR="00C1625F" w:rsidRDefault="009766CB">
      <w:pPr>
        <w:pStyle w:val="Balk1"/>
        <w:numPr>
          <w:ilvl w:val="0"/>
          <w:numId w:val="1"/>
        </w:numPr>
        <w:tabs>
          <w:tab w:val="left" w:pos="544"/>
        </w:tabs>
        <w:spacing w:before="197"/>
        <w:ind w:hanging="429"/>
        <w:jc w:val="both"/>
      </w:pPr>
      <w:r>
        <w:t>YÜKLENİCİ’NİN</w:t>
      </w:r>
      <w:r>
        <w:rPr>
          <w:spacing w:val="-3"/>
        </w:rPr>
        <w:t xml:space="preserve"> </w:t>
      </w:r>
      <w:r>
        <w:t>SORUMLULUKLARI</w:t>
      </w:r>
    </w:p>
    <w:p w:rsidR="00C1625F" w:rsidRDefault="009766CB">
      <w:pPr>
        <w:pStyle w:val="ListeParagraf"/>
        <w:numPr>
          <w:ilvl w:val="1"/>
          <w:numId w:val="1"/>
        </w:numPr>
        <w:tabs>
          <w:tab w:val="left" w:pos="1264"/>
        </w:tabs>
        <w:spacing w:before="116"/>
        <w:ind w:right="108"/>
      </w:pPr>
      <w:r>
        <w:t xml:space="preserve">YÜKLENİCİ, dolum tesislerinden (BOTAŞ, EGEGAZ, vb.) aldığı LNG’yi, LNG taşımaya yönelik üretilen treylerle/tankerle ilgili tesise/tesislere getirerek, mevcut LNG stok tankına/tanklarına </w:t>
      </w:r>
      <w:r w:rsidR="00EB22CC">
        <w:t>boşaltım</w:t>
      </w:r>
      <w:r>
        <w:t xml:space="preserve"> yapacaktır. LNG’nin sevk yeri ENERYA tarafından belirtilen iş yerlerindeki LNG tanklarıdır. Transfer sırasında tanker hortum bağlantıları ve boşaltma işleri tanker şoförü/operatörü tarafından yapılacaktır. Hortum bağlantıları yapılmış olan tankerin boşaltılması ENERYA’nın tesiste yetkili kıldığı operatörün nezaretinde olaca</w:t>
      </w:r>
      <w:r w:rsidR="00EB22CC">
        <w:t>k ve boşaltım</w:t>
      </w:r>
      <w:r>
        <w:t xml:space="preserve"> sahası asla terk</w:t>
      </w:r>
      <w:r>
        <w:rPr>
          <w:spacing w:val="-23"/>
        </w:rPr>
        <w:t xml:space="preserve"> </w:t>
      </w:r>
      <w:r>
        <w:t>edilmeyecektir.</w:t>
      </w:r>
    </w:p>
    <w:p w:rsidR="00DC0D03" w:rsidRDefault="00DC0D03">
      <w:pPr>
        <w:pStyle w:val="ListeParagraf"/>
        <w:numPr>
          <w:ilvl w:val="1"/>
          <w:numId w:val="1"/>
        </w:numPr>
        <w:tabs>
          <w:tab w:val="left" w:pos="1264"/>
        </w:tabs>
        <w:spacing w:before="116"/>
        <w:ind w:right="108"/>
      </w:pPr>
      <w:r>
        <w:t xml:space="preserve">YÜKLENİCİ, boşaltım tesisinde kurmuş olduğu tüm ünitelerin bakımı, onarımı, arıza </w:t>
      </w:r>
      <w:r>
        <w:lastRenderedPageBreak/>
        <w:t xml:space="preserve">giderme, yedek parça temini, sertifikalandırma, belgelendirmeden </w:t>
      </w:r>
      <w:proofErr w:type="gramStart"/>
      <w:r>
        <w:t>sorumludur,  kanun</w:t>
      </w:r>
      <w:proofErr w:type="gramEnd"/>
      <w:r>
        <w:t xml:space="preserve"> ve yönetmeliklerin gerektirdiği onay ve belgeleri temin etmek zorundadır.</w:t>
      </w:r>
    </w:p>
    <w:p w:rsidR="00C1625F" w:rsidRDefault="009766CB">
      <w:pPr>
        <w:pStyle w:val="ListeParagraf"/>
        <w:numPr>
          <w:ilvl w:val="1"/>
          <w:numId w:val="1"/>
        </w:numPr>
        <w:tabs>
          <w:tab w:val="left" w:pos="1264"/>
        </w:tabs>
        <w:spacing w:before="120"/>
        <w:ind w:right="106"/>
      </w:pPr>
      <w:r>
        <w:t xml:space="preserve">ENERYA’nın tesiste yetkili kıldığı operatörün gerekli kontrolleri yapması ve onay vermesi halinde </w:t>
      </w:r>
      <w:r w:rsidR="00EB22CC">
        <w:t>boşaltıma</w:t>
      </w:r>
      <w:r>
        <w:t xml:space="preserve"> başlanabilecek olup, olası bir risk tespit edilmesi halinde ENERYA yetkilisi </w:t>
      </w:r>
      <w:r w:rsidR="00EB22CC">
        <w:t>boşaltımı</w:t>
      </w:r>
      <w:r>
        <w:rPr>
          <w:spacing w:val="-3"/>
        </w:rPr>
        <w:t xml:space="preserve"> </w:t>
      </w:r>
      <w:r>
        <w:t>durdurabilecektir.</w:t>
      </w:r>
    </w:p>
    <w:p w:rsidR="00C1625F" w:rsidRDefault="00EB22CC">
      <w:pPr>
        <w:pStyle w:val="ListeParagraf"/>
        <w:numPr>
          <w:ilvl w:val="1"/>
          <w:numId w:val="1"/>
        </w:numPr>
        <w:tabs>
          <w:tab w:val="left" w:pos="1264"/>
        </w:tabs>
        <w:ind w:right="109"/>
      </w:pPr>
      <w:r>
        <w:t>Boşaltım</w:t>
      </w:r>
      <w:r w:rsidR="009766CB">
        <w:rPr>
          <w:spacing w:val="-9"/>
        </w:rPr>
        <w:t xml:space="preserve"> </w:t>
      </w:r>
      <w:r w:rsidR="009766CB">
        <w:t>öncesinde</w:t>
      </w:r>
      <w:r w:rsidR="009766CB">
        <w:rPr>
          <w:spacing w:val="-10"/>
        </w:rPr>
        <w:t xml:space="preserve"> </w:t>
      </w:r>
      <w:r w:rsidR="009766CB">
        <w:t>veya</w:t>
      </w:r>
      <w:r w:rsidR="009766CB">
        <w:rPr>
          <w:spacing w:val="-5"/>
        </w:rPr>
        <w:t xml:space="preserve"> </w:t>
      </w:r>
      <w:r w:rsidR="009766CB">
        <w:t>esnasında</w:t>
      </w:r>
      <w:r w:rsidR="009766CB">
        <w:rPr>
          <w:spacing w:val="-5"/>
        </w:rPr>
        <w:t xml:space="preserve"> </w:t>
      </w:r>
      <w:r w:rsidR="009766CB">
        <w:t>LNG</w:t>
      </w:r>
      <w:r w:rsidR="009766CB">
        <w:rPr>
          <w:spacing w:val="-8"/>
        </w:rPr>
        <w:t xml:space="preserve"> </w:t>
      </w:r>
      <w:r w:rsidR="009766CB">
        <w:t>nakliyesi</w:t>
      </w:r>
      <w:r w:rsidR="009766CB">
        <w:rPr>
          <w:spacing w:val="-7"/>
        </w:rPr>
        <w:t xml:space="preserve"> </w:t>
      </w:r>
      <w:r w:rsidR="009766CB">
        <w:t>yapacak</w:t>
      </w:r>
      <w:r w:rsidR="009766CB">
        <w:rPr>
          <w:spacing w:val="-8"/>
        </w:rPr>
        <w:t xml:space="preserve"> </w:t>
      </w:r>
      <w:r w:rsidR="009766CB">
        <w:t>treyler/tankerde</w:t>
      </w:r>
      <w:r w:rsidR="009766CB">
        <w:rPr>
          <w:spacing w:val="-9"/>
        </w:rPr>
        <w:t xml:space="preserve"> </w:t>
      </w:r>
      <w:r w:rsidR="009766CB">
        <w:t xml:space="preserve">risk oluşturabilecek bir eksik tespit edilmesi halinde </w:t>
      </w:r>
      <w:r w:rsidR="002C0812">
        <w:t>boşaltım</w:t>
      </w:r>
      <w:r w:rsidR="009766CB">
        <w:t xml:space="preserve"> durdurulabilecek veya treyler/tanker tesis içerisine</w:t>
      </w:r>
      <w:r w:rsidR="009766CB">
        <w:rPr>
          <w:spacing w:val="-5"/>
        </w:rPr>
        <w:t xml:space="preserve"> </w:t>
      </w:r>
      <w:r w:rsidR="009766CB">
        <w:t>alınamayabilecektir.</w:t>
      </w:r>
    </w:p>
    <w:p w:rsidR="00C1625F" w:rsidRDefault="009766CB">
      <w:pPr>
        <w:pStyle w:val="ListeParagraf"/>
        <w:numPr>
          <w:ilvl w:val="1"/>
          <w:numId w:val="1"/>
        </w:numPr>
        <w:tabs>
          <w:tab w:val="left" w:pos="1264"/>
        </w:tabs>
        <w:spacing w:before="124"/>
        <w:ind w:right="106"/>
      </w:pPr>
      <w:r>
        <w:t xml:space="preserve">LNG nakliyesi yapacak treyler/tanker </w:t>
      </w:r>
      <w:r w:rsidR="002C0812">
        <w:t>boşaltım</w:t>
      </w:r>
      <w:r>
        <w:t xml:space="preserve"> sahasına giriş yaptıktan sonra, </w:t>
      </w:r>
      <w:r w:rsidR="002C0812">
        <w:t>boşaltım</w:t>
      </w:r>
      <w:r>
        <w:t xml:space="preserve"> başlamadan önce mutlaka tank sahasında mevcut bulunan topraklama penseleri ile treyleri/tankeri saha topraklama sistemine</w:t>
      </w:r>
      <w:r>
        <w:rPr>
          <w:spacing w:val="-1"/>
        </w:rPr>
        <w:t xml:space="preserve"> </w:t>
      </w:r>
      <w:r>
        <w:t>bağlayacaktır.</w:t>
      </w:r>
    </w:p>
    <w:p w:rsidR="00C1625F" w:rsidRDefault="009766CB">
      <w:pPr>
        <w:pStyle w:val="ListeParagraf"/>
        <w:numPr>
          <w:ilvl w:val="1"/>
          <w:numId w:val="1"/>
        </w:numPr>
        <w:tabs>
          <w:tab w:val="left" w:pos="1264"/>
        </w:tabs>
        <w:ind w:right="107"/>
      </w:pPr>
      <w:r>
        <w:t>YÜKLENİCİ, LNG’nin tesisteki stok tanklarına nakil ve boşaltım aşamalarında olabilecek muhtemel tehlikelere karşı, kendi personelinin ve ENERYA personelinin güvenliğini sağlayacak önlemleri almak</w:t>
      </w:r>
      <w:r>
        <w:rPr>
          <w:spacing w:val="-10"/>
        </w:rPr>
        <w:t xml:space="preserve"> </w:t>
      </w:r>
      <w:r>
        <w:t>zorundadır.</w:t>
      </w:r>
    </w:p>
    <w:p w:rsidR="00C1625F" w:rsidRDefault="009766CB">
      <w:pPr>
        <w:pStyle w:val="ListeParagraf"/>
        <w:numPr>
          <w:ilvl w:val="1"/>
          <w:numId w:val="1"/>
        </w:numPr>
        <w:tabs>
          <w:tab w:val="left" w:pos="1264"/>
        </w:tabs>
        <w:ind w:right="109"/>
      </w:pPr>
      <w:r>
        <w:t>LNG nakliyesi yapacak treyler ve tankerlerin “Pi” sertifikası olması gereklidir. Araçlara ait “Pi” sertifikalarının aslı veya noter onaylı sureti ibraz edilecektir (05.06.2006 tarihli Resmi Gazetede Yayınlanan “Taşınabilir Basınçlı Ekipmanlar Yönetmeliği 99/36/AT”/Transportable Pressure Equipment Directive PED 99/36/EC</w:t>
      </w:r>
      <w:r>
        <w:rPr>
          <w:spacing w:val="-1"/>
        </w:rPr>
        <w:t xml:space="preserve"> </w:t>
      </w:r>
      <w:r>
        <w:t>uyarınca).</w:t>
      </w:r>
    </w:p>
    <w:p w:rsidR="00C1625F" w:rsidRDefault="009766CB">
      <w:pPr>
        <w:pStyle w:val="ListeParagraf"/>
        <w:numPr>
          <w:ilvl w:val="1"/>
          <w:numId w:val="1"/>
        </w:numPr>
        <w:tabs>
          <w:tab w:val="left" w:pos="1264"/>
        </w:tabs>
        <w:spacing w:before="78"/>
        <w:ind w:right="110"/>
      </w:pPr>
      <w:r>
        <w:t>Karayolları Taşıma Yönetmeliği uyarınca LNG Tankerlerinin ön ve arka yanlarına kırmızı renkte zemin üzerine boyu 40 cm’den az olmayan “TEHLİKELİ VE YANICI MADDE” yazılması</w:t>
      </w:r>
      <w:r>
        <w:rPr>
          <w:spacing w:val="-8"/>
        </w:rPr>
        <w:t xml:space="preserve"> </w:t>
      </w:r>
      <w:r>
        <w:t>gereklidir.</w:t>
      </w:r>
    </w:p>
    <w:p w:rsidR="00C1625F" w:rsidRDefault="009766CB">
      <w:pPr>
        <w:pStyle w:val="ListeParagraf"/>
        <w:numPr>
          <w:ilvl w:val="1"/>
          <w:numId w:val="1"/>
        </w:numPr>
        <w:tabs>
          <w:tab w:val="left" w:pos="1264"/>
        </w:tabs>
        <w:ind w:right="110"/>
      </w:pPr>
      <w:r>
        <w:t>YÜKLENİCİ,</w:t>
      </w:r>
      <w:r>
        <w:rPr>
          <w:spacing w:val="-11"/>
        </w:rPr>
        <w:t xml:space="preserve"> </w:t>
      </w:r>
      <w:r>
        <w:t>LNG</w:t>
      </w:r>
      <w:r>
        <w:rPr>
          <w:spacing w:val="-8"/>
        </w:rPr>
        <w:t xml:space="preserve"> </w:t>
      </w:r>
      <w:r>
        <w:t>nakliyesi</w:t>
      </w:r>
      <w:r>
        <w:rPr>
          <w:spacing w:val="-7"/>
        </w:rPr>
        <w:t xml:space="preserve"> </w:t>
      </w:r>
      <w:r>
        <w:t>yapılan</w:t>
      </w:r>
      <w:r>
        <w:rPr>
          <w:spacing w:val="-6"/>
        </w:rPr>
        <w:t xml:space="preserve"> </w:t>
      </w:r>
      <w:r>
        <w:t>araçta</w:t>
      </w:r>
      <w:r>
        <w:rPr>
          <w:spacing w:val="-6"/>
        </w:rPr>
        <w:t xml:space="preserve"> </w:t>
      </w:r>
      <w:r>
        <w:t>AETR</w:t>
      </w:r>
      <w:r>
        <w:rPr>
          <w:spacing w:val="-6"/>
        </w:rPr>
        <w:t xml:space="preserve"> </w:t>
      </w:r>
      <w:r>
        <w:t>Konvansiyonu’na</w:t>
      </w:r>
      <w:r>
        <w:rPr>
          <w:spacing w:val="-5"/>
        </w:rPr>
        <w:t xml:space="preserve"> </w:t>
      </w:r>
      <w:r>
        <w:t>uygunluk</w:t>
      </w:r>
      <w:r>
        <w:rPr>
          <w:spacing w:val="-8"/>
        </w:rPr>
        <w:t xml:space="preserve"> </w:t>
      </w:r>
      <w:r>
        <w:t>açısından şoför/operatör bulundurmalı ve YÜKLENİCİ lojistik hizmetini başka bir firmadan sağlıyor ise şoför/operatörler hizmet alınan firma bünyesinde sigortalı olmalıdır. Görevlendirilecek personelin belgeleri sözleşme dönemi operasyonuna başlamadan önce ENERYA’ya toplu olarak ibraz</w:t>
      </w:r>
      <w:r>
        <w:rPr>
          <w:spacing w:val="-7"/>
        </w:rPr>
        <w:t xml:space="preserve"> </w:t>
      </w:r>
      <w:r>
        <w:t>edilecektir.</w:t>
      </w:r>
    </w:p>
    <w:p w:rsidR="00C1625F" w:rsidRDefault="009766CB">
      <w:pPr>
        <w:pStyle w:val="ListeParagraf"/>
        <w:numPr>
          <w:ilvl w:val="1"/>
          <w:numId w:val="1"/>
        </w:numPr>
        <w:tabs>
          <w:tab w:val="left" w:pos="1264"/>
        </w:tabs>
        <w:spacing w:before="121"/>
        <w:ind w:right="114"/>
      </w:pPr>
      <w:r>
        <w:t>Şoförler/operatörler tek tip nomex elbise giymek, koruyucu maske ve kriyojenik eldiven bulundurmak ve kullanmak</w:t>
      </w:r>
      <w:r>
        <w:rPr>
          <w:spacing w:val="-7"/>
        </w:rPr>
        <w:t xml:space="preserve"> </w:t>
      </w:r>
      <w:r>
        <w:t>zorundadır.</w:t>
      </w:r>
    </w:p>
    <w:p w:rsidR="00C1625F" w:rsidRDefault="009766CB">
      <w:pPr>
        <w:pStyle w:val="ListeParagraf"/>
        <w:numPr>
          <w:ilvl w:val="1"/>
          <w:numId w:val="1"/>
        </w:numPr>
        <w:tabs>
          <w:tab w:val="left" w:pos="1264"/>
        </w:tabs>
        <w:spacing w:before="118"/>
        <w:ind w:right="111"/>
      </w:pPr>
      <w:r>
        <w:t>LNG</w:t>
      </w:r>
      <w:r>
        <w:rPr>
          <w:spacing w:val="-14"/>
        </w:rPr>
        <w:t xml:space="preserve"> </w:t>
      </w:r>
      <w:r>
        <w:t>taşıyan</w:t>
      </w:r>
      <w:r>
        <w:rPr>
          <w:spacing w:val="-16"/>
        </w:rPr>
        <w:t xml:space="preserve"> </w:t>
      </w:r>
      <w:r>
        <w:t>treylerler/tankerler,</w:t>
      </w:r>
      <w:r>
        <w:rPr>
          <w:spacing w:val="-15"/>
        </w:rPr>
        <w:t xml:space="preserve"> </w:t>
      </w:r>
      <w:r>
        <w:t>bu</w:t>
      </w:r>
      <w:r>
        <w:rPr>
          <w:spacing w:val="-14"/>
        </w:rPr>
        <w:t xml:space="preserve"> </w:t>
      </w:r>
      <w:r>
        <w:t>amaç</w:t>
      </w:r>
      <w:r>
        <w:rPr>
          <w:spacing w:val="-14"/>
        </w:rPr>
        <w:t xml:space="preserve"> </w:t>
      </w:r>
      <w:r>
        <w:t>için</w:t>
      </w:r>
      <w:r>
        <w:rPr>
          <w:spacing w:val="-11"/>
        </w:rPr>
        <w:t xml:space="preserve"> </w:t>
      </w:r>
      <w:r>
        <w:t>tekniğine</w:t>
      </w:r>
      <w:r>
        <w:rPr>
          <w:spacing w:val="-15"/>
        </w:rPr>
        <w:t xml:space="preserve"> </w:t>
      </w:r>
      <w:r>
        <w:t>uygun</w:t>
      </w:r>
      <w:r>
        <w:rPr>
          <w:spacing w:val="-11"/>
        </w:rPr>
        <w:t xml:space="preserve"> </w:t>
      </w:r>
      <w:r>
        <w:t>olarak</w:t>
      </w:r>
      <w:r>
        <w:rPr>
          <w:spacing w:val="-14"/>
        </w:rPr>
        <w:t xml:space="preserve"> </w:t>
      </w:r>
      <w:r>
        <w:t>yapılmış</w:t>
      </w:r>
      <w:r>
        <w:rPr>
          <w:spacing w:val="-11"/>
        </w:rPr>
        <w:t xml:space="preserve"> </w:t>
      </w:r>
      <w:r>
        <w:t>olmalı ve bir seviye göstergesi ile yeterli kapasitede kullanılabilir durumda yangın söndürme cihazı ile donatılmış</w:t>
      </w:r>
      <w:r>
        <w:rPr>
          <w:spacing w:val="-7"/>
        </w:rPr>
        <w:t xml:space="preserve"> </w:t>
      </w:r>
      <w:r>
        <w:t>olmalıdır.</w:t>
      </w:r>
    </w:p>
    <w:p w:rsidR="00C1625F" w:rsidRDefault="009766CB">
      <w:pPr>
        <w:pStyle w:val="ListeParagraf"/>
        <w:numPr>
          <w:ilvl w:val="1"/>
          <w:numId w:val="1"/>
        </w:numPr>
        <w:tabs>
          <w:tab w:val="left" w:pos="1264"/>
        </w:tabs>
        <w:ind w:right="110"/>
      </w:pPr>
      <w:r>
        <w:t>YÜKLENİCİ firma nakil veya boşaltma işlemlerinde olası muhtemel kazalara karşı gerekli tedbirleri almakla yükümlü olup, meydana gelebilecek her türlü kaçak, iş kazası ile zarar ve ziyandan ENERYA’ya karşı</w:t>
      </w:r>
      <w:r>
        <w:rPr>
          <w:spacing w:val="-7"/>
        </w:rPr>
        <w:t xml:space="preserve"> </w:t>
      </w:r>
      <w:r>
        <w:t>sorumludur.</w:t>
      </w:r>
    </w:p>
    <w:p w:rsidR="00C1625F" w:rsidRDefault="009766CB">
      <w:pPr>
        <w:pStyle w:val="ListeParagraf"/>
        <w:numPr>
          <w:ilvl w:val="1"/>
          <w:numId w:val="1"/>
        </w:numPr>
        <w:tabs>
          <w:tab w:val="left" w:pos="1264"/>
        </w:tabs>
        <w:spacing w:before="124"/>
        <w:ind w:right="111"/>
      </w:pPr>
      <w:r>
        <w:t>YÜKLENİCİ firma kendi personelinin sevk ve idaresinden sorumludur. Personelleri ENERYA işyeri disiplinine uygun olarak çalışacak, aksi durumlarda, disipline uymayan personel iş sahasından</w:t>
      </w:r>
      <w:r>
        <w:rPr>
          <w:spacing w:val="2"/>
        </w:rPr>
        <w:t xml:space="preserve"> </w:t>
      </w:r>
      <w:r>
        <w:t>uzaklaştırılacaktır.</w:t>
      </w:r>
    </w:p>
    <w:p w:rsidR="00C1625F" w:rsidRDefault="009766CB">
      <w:pPr>
        <w:pStyle w:val="ListeParagraf"/>
        <w:numPr>
          <w:ilvl w:val="1"/>
          <w:numId w:val="1"/>
        </w:numPr>
        <w:tabs>
          <w:tab w:val="left" w:pos="1264"/>
        </w:tabs>
        <w:ind w:right="109"/>
      </w:pPr>
      <w:r>
        <w:t>LNG nakliyesi yapacak treylerlere/tankerlere ait yetkili kuruluştan alınan kalite sertifikası veya ilk muayene sertifikasının (3rd Party Initian Sample Report) bir kopyası ENERYA’ya ibraz</w:t>
      </w:r>
      <w:r>
        <w:rPr>
          <w:spacing w:val="1"/>
        </w:rPr>
        <w:t xml:space="preserve"> </w:t>
      </w:r>
      <w:r>
        <w:t>edilecektir.</w:t>
      </w:r>
    </w:p>
    <w:p w:rsidR="00C1625F" w:rsidRDefault="009766CB">
      <w:pPr>
        <w:pStyle w:val="ListeParagraf"/>
        <w:numPr>
          <w:ilvl w:val="1"/>
          <w:numId w:val="1"/>
        </w:numPr>
        <w:tabs>
          <w:tab w:val="left" w:pos="1264"/>
        </w:tabs>
        <w:ind w:right="117"/>
      </w:pPr>
      <w:r>
        <w:t>Tesise LNG taşıması yapacak YÜKLENİCİ firmanın Taşıt Durum Tespit/Taşıt Uygunluk/ADR Uygunluk Belgesi’nin birer kopyalarını ENERYA’ya ibraz</w:t>
      </w:r>
      <w:r>
        <w:rPr>
          <w:spacing w:val="-19"/>
        </w:rPr>
        <w:t xml:space="preserve"> </w:t>
      </w:r>
      <w:r>
        <w:t>edecektir.</w:t>
      </w:r>
    </w:p>
    <w:p w:rsidR="00C1625F" w:rsidRDefault="009766CB">
      <w:pPr>
        <w:pStyle w:val="ListeParagraf"/>
        <w:numPr>
          <w:ilvl w:val="1"/>
          <w:numId w:val="1"/>
        </w:numPr>
        <w:tabs>
          <w:tab w:val="left" w:pos="1264"/>
        </w:tabs>
        <w:spacing w:before="123"/>
        <w:ind w:right="115"/>
      </w:pPr>
      <w:r>
        <w:t>İkmal için ENERYA’nın tesisine gelen treyler/tanker, ikmal işini tamamlandıktan sonra en kısa zamanda tesisi terk</w:t>
      </w:r>
      <w:r>
        <w:rPr>
          <w:spacing w:val="-1"/>
        </w:rPr>
        <w:t xml:space="preserve"> </w:t>
      </w:r>
      <w:r>
        <w:t>edecektir.</w:t>
      </w:r>
    </w:p>
    <w:p w:rsidR="00C1625F" w:rsidRDefault="009766CB">
      <w:pPr>
        <w:pStyle w:val="ListeParagraf"/>
        <w:numPr>
          <w:ilvl w:val="1"/>
          <w:numId w:val="1"/>
        </w:numPr>
        <w:tabs>
          <w:tab w:val="left" w:pos="1264"/>
        </w:tabs>
        <w:spacing w:before="118"/>
        <w:ind w:right="110"/>
      </w:pPr>
      <w:r>
        <w:t xml:space="preserve">Tesis mahalli içinde LNG’nin tanka/tanklara boşaltması aşamasında </w:t>
      </w:r>
      <w:r>
        <w:rPr>
          <w:spacing w:val="-3"/>
        </w:rPr>
        <w:t xml:space="preserve">İş </w:t>
      </w:r>
      <w:r>
        <w:t xml:space="preserve">Sağlığı ve Güvenliği (İSG)’ne göre doğabilecek risklerden ve İSG ve diğer ilgili mevzuat hükümlerine göre tedbirlerin alınmamasından doğacak her türlü iş kazası ile üçüncü </w:t>
      </w:r>
      <w:r>
        <w:lastRenderedPageBreak/>
        <w:t>şahıslara vermiş olduğu zarar ve ziyandan (maddi zarar, yaralanma, ölüm vb.) YÜKLENİCİ</w:t>
      </w:r>
      <w:r>
        <w:rPr>
          <w:spacing w:val="-1"/>
        </w:rPr>
        <w:t xml:space="preserve"> </w:t>
      </w:r>
      <w:r>
        <w:t>sorumludur.</w:t>
      </w:r>
    </w:p>
    <w:p w:rsidR="00C1625F" w:rsidRDefault="009766CB">
      <w:pPr>
        <w:pStyle w:val="ListeParagraf"/>
        <w:numPr>
          <w:ilvl w:val="1"/>
          <w:numId w:val="1"/>
        </w:numPr>
        <w:tabs>
          <w:tab w:val="left" w:pos="1264"/>
        </w:tabs>
        <w:spacing w:before="121"/>
        <w:ind w:right="111"/>
      </w:pPr>
      <w:r>
        <w:t>LNG ikmali yapacak treyler/tankerler, karayolları “Trafik Yönetmeliği” ve “Tehlikeli Maddelerin Karayolu ile Taşınması Hakkındaki Yönetmelik” hükümlerine uygun olacaktır. YÜKLENİCİ, sözleşme dönemi operasyonuna başlamadan önce sevkiyat yapacak treyler/tankerlerin; “Tehlikeli Maddeler ve Tehlikeli Atık Zorunlu Mali Sorumluluk Sigortası” ve “Karayolları Motorlu Araçlar Zorunlu Mali Sorumluluk (Kasko) Sigortası” poliçeleri ile operatörler için de “SRC5” ehliyetlerini ENERYA’ya toplu olarak ibraz etmek zorundadır. Sözleşme süresi içerisinde görevlendirilecek personellerde veya ikmal yapacak tankerlerde değişiklik olması halinde YÜKLENİCİ tarafından ENERYA’ya bilgi verilecek olup personel ve tanker belgeleri bilgilendirme ile birlikte ENERYA’ya ibraz</w:t>
      </w:r>
      <w:r>
        <w:rPr>
          <w:spacing w:val="-5"/>
        </w:rPr>
        <w:t xml:space="preserve"> </w:t>
      </w:r>
      <w:r>
        <w:t>edilecektir.</w:t>
      </w:r>
    </w:p>
    <w:p w:rsidR="00C1625F" w:rsidRDefault="009766CB">
      <w:pPr>
        <w:pStyle w:val="ListeParagraf"/>
        <w:numPr>
          <w:ilvl w:val="1"/>
          <w:numId w:val="1"/>
        </w:numPr>
        <w:tabs>
          <w:tab w:val="left" w:pos="1264"/>
        </w:tabs>
        <w:ind w:right="110"/>
      </w:pPr>
      <w:r>
        <w:t>YÜKLENİCİ bu maddede sayılan/talep edilen işlemlerin ve/veya belgelerin gerekli kısmını sözleşme imzalanmasından hemen sonra diğer kısmını da her bir sevkiyat öncesi ENERYA’ya sunacaktır. Bu maddede talep edilen belgelerin zamanında ENERYA’ya ulaştırılmaması durumunda ve/veya talep edilen işlemlerin gerçekleştirilmemesi durumunda, LNG treyleri/tankeri sahaya gelmiş olsa bile, içeri alınmayacak, LNG transferi yapılmasına izin</w:t>
      </w:r>
      <w:r>
        <w:rPr>
          <w:spacing w:val="-5"/>
        </w:rPr>
        <w:t xml:space="preserve"> </w:t>
      </w:r>
      <w:r>
        <w:t>verilmeyecektir.</w:t>
      </w:r>
    </w:p>
    <w:p w:rsidR="00C1625F" w:rsidRDefault="009766CB">
      <w:pPr>
        <w:pStyle w:val="ListeParagraf"/>
        <w:numPr>
          <w:ilvl w:val="1"/>
          <w:numId w:val="1"/>
        </w:numPr>
        <w:tabs>
          <w:tab w:val="left" w:pos="1264"/>
        </w:tabs>
        <w:spacing w:before="78"/>
        <w:ind w:right="111"/>
      </w:pPr>
      <w:r>
        <w:t>Kromatograf bulunmayan istasyonlarda her ikmalde, ikmali yapılan LNG’nin kalite değerleri, ikmalin yapıldığı gün ENERYA’ya mail yolu ile</w:t>
      </w:r>
      <w:r>
        <w:rPr>
          <w:spacing w:val="-10"/>
        </w:rPr>
        <w:t xml:space="preserve"> </w:t>
      </w:r>
      <w:r>
        <w:t>iletilecektir.</w:t>
      </w:r>
    </w:p>
    <w:p w:rsidR="00C1625F" w:rsidRDefault="00C1625F">
      <w:pPr>
        <w:pStyle w:val="GvdeMetni"/>
        <w:spacing w:before="0"/>
        <w:ind w:left="0" w:firstLine="0"/>
        <w:jc w:val="left"/>
        <w:rPr>
          <w:sz w:val="26"/>
        </w:rPr>
      </w:pPr>
    </w:p>
    <w:p w:rsidR="00C1625F" w:rsidRDefault="009766CB">
      <w:pPr>
        <w:pStyle w:val="Balk1"/>
        <w:numPr>
          <w:ilvl w:val="0"/>
          <w:numId w:val="1"/>
        </w:numPr>
        <w:tabs>
          <w:tab w:val="left" w:pos="543"/>
          <w:tab w:val="left" w:pos="544"/>
        </w:tabs>
        <w:ind w:hanging="429"/>
      </w:pPr>
      <w:r>
        <w:t>ENERYA’NIN</w:t>
      </w:r>
      <w:r>
        <w:rPr>
          <w:spacing w:val="-3"/>
        </w:rPr>
        <w:t xml:space="preserve"> </w:t>
      </w:r>
      <w:r>
        <w:t>SORUMLULUKLARI</w:t>
      </w:r>
    </w:p>
    <w:p w:rsidR="00C1625F" w:rsidRDefault="009766CB">
      <w:pPr>
        <w:pStyle w:val="ListeParagraf"/>
        <w:numPr>
          <w:ilvl w:val="1"/>
          <w:numId w:val="1"/>
        </w:numPr>
        <w:tabs>
          <w:tab w:val="left" w:pos="1264"/>
        </w:tabs>
        <w:spacing w:before="121"/>
        <w:ind w:right="112"/>
      </w:pPr>
      <w:r>
        <w:t>ENERYA, tesisin/tesislerin sorunsuz çalışmasından ve gerekli bakımların zamanında yapılmasından/yaptırılmasından</w:t>
      </w:r>
      <w:r>
        <w:rPr>
          <w:spacing w:val="-5"/>
        </w:rPr>
        <w:t xml:space="preserve"> </w:t>
      </w:r>
      <w:r>
        <w:t>sorumludur.</w:t>
      </w:r>
    </w:p>
    <w:p w:rsidR="00C1625F" w:rsidRDefault="009766CB">
      <w:pPr>
        <w:pStyle w:val="ListeParagraf"/>
        <w:numPr>
          <w:ilvl w:val="1"/>
          <w:numId w:val="1"/>
        </w:numPr>
        <w:tabs>
          <w:tab w:val="left" w:pos="1264"/>
        </w:tabs>
        <w:spacing w:before="118"/>
        <w:ind w:right="118"/>
      </w:pPr>
      <w:r>
        <w:t>Kokulandırma sistemi/sistemleri ve koku maddesi/maddeleri ENERYA tarafından temin edilecektir.</w:t>
      </w:r>
    </w:p>
    <w:p w:rsidR="00C1625F" w:rsidRDefault="009766CB">
      <w:pPr>
        <w:pStyle w:val="ListeParagraf"/>
        <w:numPr>
          <w:ilvl w:val="1"/>
          <w:numId w:val="1"/>
        </w:numPr>
        <w:tabs>
          <w:tab w:val="left" w:pos="1264"/>
        </w:tabs>
        <w:spacing w:before="123"/>
        <w:ind w:right="112"/>
      </w:pPr>
      <w:r>
        <w:t>ENERYA,</w:t>
      </w:r>
      <w:r>
        <w:rPr>
          <w:spacing w:val="-15"/>
        </w:rPr>
        <w:t xml:space="preserve"> </w:t>
      </w:r>
      <w:r>
        <w:t>İSG</w:t>
      </w:r>
      <w:r>
        <w:rPr>
          <w:spacing w:val="-14"/>
        </w:rPr>
        <w:t xml:space="preserve"> </w:t>
      </w:r>
      <w:r>
        <w:t>ve</w:t>
      </w:r>
      <w:r>
        <w:rPr>
          <w:spacing w:val="-16"/>
        </w:rPr>
        <w:t xml:space="preserve"> </w:t>
      </w:r>
      <w:r>
        <w:t>diğer</w:t>
      </w:r>
      <w:r>
        <w:rPr>
          <w:spacing w:val="-13"/>
        </w:rPr>
        <w:t xml:space="preserve"> </w:t>
      </w:r>
      <w:r>
        <w:t>ilgili</w:t>
      </w:r>
      <w:r>
        <w:rPr>
          <w:spacing w:val="-17"/>
        </w:rPr>
        <w:t xml:space="preserve"> </w:t>
      </w:r>
      <w:r>
        <w:t>mevzuat</w:t>
      </w:r>
      <w:r>
        <w:rPr>
          <w:spacing w:val="-11"/>
        </w:rPr>
        <w:t xml:space="preserve"> </w:t>
      </w:r>
      <w:r>
        <w:t>hükümlerine</w:t>
      </w:r>
      <w:r>
        <w:rPr>
          <w:spacing w:val="-19"/>
        </w:rPr>
        <w:t xml:space="preserve"> </w:t>
      </w:r>
      <w:r>
        <w:t>göre</w:t>
      </w:r>
      <w:r>
        <w:rPr>
          <w:spacing w:val="-16"/>
        </w:rPr>
        <w:t xml:space="preserve"> </w:t>
      </w:r>
      <w:r>
        <w:t>gerekli</w:t>
      </w:r>
      <w:r>
        <w:rPr>
          <w:spacing w:val="-13"/>
        </w:rPr>
        <w:t xml:space="preserve"> </w:t>
      </w:r>
      <w:r>
        <w:t>emniyet</w:t>
      </w:r>
      <w:r>
        <w:rPr>
          <w:spacing w:val="-15"/>
        </w:rPr>
        <w:t xml:space="preserve"> </w:t>
      </w:r>
      <w:r>
        <w:t>tedbiri</w:t>
      </w:r>
      <w:r>
        <w:rPr>
          <w:spacing w:val="-17"/>
        </w:rPr>
        <w:t xml:space="preserve"> </w:t>
      </w:r>
      <w:r>
        <w:t>almakla yükümlüdür.</w:t>
      </w:r>
    </w:p>
    <w:p w:rsidR="00C1625F" w:rsidRDefault="009766CB">
      <w:pPr>
        <w:pStyle w:val="ListeParagraf"/>
        <w:numPr>
          <w:ilvl w:val="1"/>
          <w:numId w:val="1"/>
        </w:numPr>
        <w:tabs>
          <w:tab w:val="left" w:pos="1264"/>
        </w:tabs>
        <w:spacing w:before="117"/>
        <w:ind w:right="113"/>
      </w:pPr>
      <w:r>
        <w:t>ENERYA, tank sahasında/sahalarında güvenlik gereği olması gereken yangına müdahale tedbirlerini alacaktır. Her LNG tank sahası için yeterli miktarda yangın söndürme tüpü</w:t>
      </w:r>
      <w:r>
        <w:rPr>
          <w:spacing w:val="-7"/>
        </w:rPr>
        <w:t xml:space="preserve"> </w:t>
      </w:r>
      <w:r>
        <w:t>bulunduracaktır.</w:t>
      </w:r>
    </w:p>
    <w:p w:rsidR="00C1625F" w:rsidRDefault="009766CB">
      <w:pPr>
        <w:pStyle w:val="ListeParagraf"/>
        <w:numPr>
          <w:ilvl w:val="1"/>
          <w:numId w:val="1"/>
        </w:numPr>
        <w:tabs>
          <w:tab w:val="left" w:pos="1264"/>
        </w:tabs>
        <w:ind w:right="115"/>
      </w:pPr>
      <w:r>
        <w:t>LNG</w:t>
      </w:r>
      <w:r>
        <w:rPr>
          <w:spacing w:val="-13"/>
        </w:rPr>
        <w:t xml:space="preserve"> </w:t>
      </w:r>
      <w:r>
        <w:t>sistemini</w:t>
      </w:r>
      <w:r>
        <w:rPr>
          <w:spacing w:val="-11"/>
        </w:rPr>
        <w:t xml:space="preserve"> </w:t>
      </w:r>
      <w:r>
        <w:t>bu</w:t>
      </w:r>
      <w:r>
        <w:rPr>
          <w:spacing w:val="-14"/>
        </w:rPr>
        <w:t xml:space="preserve"> </w:t>
      </w:r>
      <w:r>
        <w:t>konuda</w:t>
      </w:r>
      <w:r>
        <w:rPr>
          <w:spacing w:val="-9"/>
        </w:rPr>
        <w:t xml:space="preserve"> </w:t>
      </w:r>
      <w:r>
        <w:t>eğitilen</w:t>
      </w:r>
      <w:r>
        <w:rPr>
          <w:spacing w:val="-10"/>
        </w:rPr>
        <w:t xml:space="preserve"> </w:t>
      </w:r>
      <w:r>
        <w:t>personel</w:t>
      </w:r>
      <w:r>
        <w:rPr>
          <w:spacing w:val="-14"/>
        </w:rPr>
        <w:t xml:space="preserve"> </w:t>
      </w:r>
      <w:r>
        <w:t>tarafından</w:t>
      </w:r>
      <w:r>
        <w:rPr>
          <w:spacing w:val="-10"/>
        </w:rPr>
        <w:t xml:space="preserve"> </w:t>
      </w:r>
      <w:r>
        <w:t>kullanılması</w:t>
      </w:r>
      <w:r>
        <w:rPr>
          <w:spacing w:val="-11"/>
        </w:rPr>
        <w:t xml:space="preserve"> </w:t>
      </w:r>
      <w:r>
        <w:t>sağlanacak</w:t>
      </w:r>
      <w:r>
        <w:rPr>
          <w:spacing w:val="-12"/>
        </w:rPr>
        <w:t xml:space="preserve"> </w:t>
      </w:r>
      <w:r>
        <w:t>ve</w:t>
      </w:r>
      <w:r>
        <w:rPr>
          <w:spacing w:val="-14"/>
        </w:rPr>
        <w:t xml:space="preserve"> </w:t>
      </w:r>
      <w:r>
        <w:t>LNG sahasına yetkisiz kişilerin girişine olanak</w:t>
      </w:r>
      <w:r>
        <w:rPr>
          <w:spacing w:val="-3"/>
        </w:rPr>
        <w:t xml:space="preserve"> </w:t>
      </w:r>
      <w:r>
        <w:t>verilmeyecektir.</w:t>
      </w:r>
    </w:p>
    <w:p w:rsidR="00C1625F" w:rsidRDefault="009766CB">
      <w:pPr>
        <w:pStyle w:val="ListeParagraf"/>
        <w:numPr>
          <w:ilvl w:val="1"/>
          <w:numId w:val="1"/>
        </w:numPr>
        <w:tabs>
          <w:tab w:val="left" w:pos="1264"/>
        </w:tabs>
        <w:spacing w:before="123"/>
        <w:ind w:right="112"/>
      </w:pPr>
      <w:r>
        <w:t>LNG</w:t>
      </w:r>
      <w:r>
        <w:rPr>
          <w:spacing w:val="-8"/>
        </w:rPr>
        <w:t xml:space="preserve"> </w:t>
      </w:r>
      <w:r>
        <w:t>ikmalinin</w:t>
      </w:r>
      <w:r>
        <w:rPr>
          <w:spacing w:val="-10"/>
        </w:rPr>
        <w:t xml:space="preserve"> </w:t>
      </w:r>
      <w:r>
        <w:t>aksamaması</w:t>
      </w:r>
      <w:r>
        <w:rPr>
          <w:spacing w:val="-6"/>
        </w:rPr>
        <w:t xml:space="preserve"> </w:t>
      </w:r>
      <w:r>
        <w:t>açısından</w:t>
      </w:r>
      <w:r>
        <w:rPr>
          <w:spacing w:val="-5"/>
        </w:rPr>
        <w:t xml:space="preserve"> </w:t>
      </w:r>
      <w:r>
        <w:t>tüketim</w:t>
      </w:r>
      <w:r>
        <w:rPr>
          <w:spacing w:val="-8"/>
        </w:rPr>
        <w:t xml:space="preserve"> </w:t>
      </w:r>
      <w:r>
        <w:t>hızının</w:t>
      </w:r>
      <w:r>
        <w:rPr>
          <w:spacing w:val="-6"/>
        </w:rPr>
        <w:t xml:space="preserve"> </w:t>
      </w:r>
      <w:r>
        <w:t>belirlenmesinde</w:t>
      </w:r>
      <w:r>
        <w:rPr>
          <w:spacing w:val="-9"/>
        </w:rPr>
        <w:t xml:space="preserve"> </w:t>
      </w:r>
      <w:r>
        <w:t>YÜKLENİCİ’ye gerekli bilgilerin aktarılması, seviye göstergesinin takibine dikkat</w:t>
      </w:r>
      <w:r>
        <w:rPr>
          <w:spacing w:val="-16"/>
        </w:rPr>
        <w:t xml:space="preserve"> </w:t>
      </w:r>
      <w:r>
        <w:t>edilecektir.</w:t>
      </w:r>
    </w:p>
    <w:p w:rsidR="00C1625F" w:rsidRDefault="00C1625F">
      <w:pPr>
        <w:pStyle w:val="GvdeMetni"/>
        <w:spacing w:before="0"/>
        <w:ind w:left="0" w:firstLine="0"/>
        <w:jc w:val="left"/>
        <w:rPr>
          <w:sz w:val="26"/>
        </w:rPr>
      </w:pPr>
    </w:p>
    <w:p w:rsidR="00C1625F" w:rsidRDefault="009766CB">
      <w:pPr>
        <w:pStyle w:val="Balk1"/>
        <w:numPr>
          <w:ilvl w:val="0"/>
          <w:numId w:val="1"/>
        </w:numPr>
        <w:tabs>
          <w:tab w:val="left" w:pos="543"/>
          <w:tab w:val="left" w:pos="544"/>
        </w:tabs>
        <w:ind w:hanging="429"/>
      </w:pPr>
      <w:r>
        <w:t>FATURALANDIRMA</w:t>
      </w:r>
    </w:p>
    <w:p w:rsidR="00C1625F" w:rsidRDefault="009766CB">
      <w:pPr>
        <w:pStyle w:val="GvdeMetni"/>
        <w:spacing w:before="121"/>
        <w:ind w:left="543" w:right="113" w:firstLine="0"/>
      </w:pPr>
      <w:r>
        <w:t>İlgi istasyonda/istasyonlarda</w:t>
      </w:r>
      <w:r w:rsidR="00534285">
        <w:t xml:space="preserve"> kullanılan gazın ölçümünün yapılması için</w:t>
      </w:r>
      <w:r>
        <w:t xml:space="preserve"> ENERYA tarafından kurulmuş ölçüm istasyonları ve ölçüm i</w:t>
      </w:r>
      <w:r w:rsidR="00EB4A25">
        <w:t xml:space="preserve">stasyonlarında </w:t>
      </w:r>
      <w:r w:rsidR="00106415">
        <w:t xml:space="preserve">türbinmetre veya rotarymetre veya </w:t>
      </w:r>
      <w:r w:rsidR="00EB4A25">
        <w:t xml:space="preserve">ultrasonikmetre </w:t>
      </w:r>
      <w:r>
        <w:t>ve</w:t>
      </w:r>
      <w:r w:rsidR="00106415">
        <w:t>ya</w:t>
      </w:r>
      <w:r>
        <w:t xml:space="preserve"> flowcomputer </w:t>
      </w:r>
      <w:r w:rsidR="00106415">
        <w:t xml:space="preserve">veya hacim korrektör </w:t>
      </w:r>
      <w:r>
        <w:t xml:space="preserve">bulunmaktadır. </w:t>
      </w:r>
    </w:p>
    <w:p w:rsidR="00C1625F" w:rsidRDefault="00EB4A25">
      <w:pPr>
        <w:pStyle w:val="GvdeMetni"/>
        <w:ind w:left="543" w:right="109" w:firstLine="0"/>
      </w:pPr>
      <w:r>
        <w:t>T</w:t>
      </w:r>
      <w:r w:rsidR="009766CB">
        <w:t xml:space="preserve">üm teslim noktalarında YÜKLENİCİ’nin her ikmalinde ENERYA’ya teslim edeceği </w:t>
      </w:r>
      <w:r>
        <w:t xml:space="preserve">doğal gaz </w:t>
      </w:r>
      <w:r w:rsidR="009766CB">
        <w:t>kalite belgesi değerleri kullanılacaktır.</w:t>
      </w:r>
    </w:p>
    <w:p w:rsidR="00C1625F" w:rsidRDefault="009766CB">
      <w:pPr>
        <w:pStyle w:val="GvdeMetni"/>
        <w:spacing w:before="121"/>
        <w:ind w:left="543" w:right="107" w:firstLine="0"/>
      </w:pPr>
      <w:r>
        <w:t>Her</w:t>
      </w:r>
      <w:r>
        <w:rPr>
          <w:spacing w:val="-12"/>
        </w:rPr>
        <w:t xml:space="preserve"> </w:t>
      </w:r>
      <w:r>
        <w:t>ayın</w:t>
      </w:r>
      <w:r>
        <w:rPr>
          <w:spacing w:val="-14"/>
        </w:rPr>
        <w:t xml:space="preserve"> </w:t>
      </w:r>
      <w:r>
        <w:t>1.</w:t>
      </w:r>
      <w:r>
        <w:rPr>
          <w:spacing w:val="-13"/>
        </w:rPr>
        <w:t xml:space="preserve"> </w:t>
      </w:r>
      <w:r>
        <w:t>günü</w:t>
      </w:r>
      <w:r>
        <w:rPr>
          <w:spacing w:val="-13"/>
        </w:rPr>
        <w:t xml:space="preserve"> </w:t>
      </w:r>
      <w:r>
        <w:t>sabah</w:t>
      </w:r>
      <w:r>
        <w:rPr>
          <w:spacing w:val="-13"/>
        </w:rPr>
        <w:t xml:space="preserve"> </w:t>
      </w:r>
      <w:r>
        <w:t>08:00’e</w:t>
      </w:r>
      <w:r>
        <w:rPr>
          <w:spacing w:val="-13"/>
        </w:rPr>
        <w:t xml:space="preserve"> </w:t>
      </w:r>
      <w:r>
        <w:t>kadar</w:t>
      </w:r>
      <w:r>
        <w:rPr>
          <w:spacing w:val="-10"/>
        </w:rPr>
        <w:t xml:space="preserve"> </w:t>
      </w:r>
      <w:r>
        <w:t>istasyondan/istasyonlardan</w:t>
      </w:r>
      <w:r>
        <w:rPr>
          <w:spacing w:val="-14"/>
        </w:rPr>
        <w:t xml:space="preserve"> </w:t>
      </w:r>
      <w:r>
        <w:t>alınan</w:t>
      </w:r>
      <w:r>
        <w:rPr>
          <w:spacing w:val="-9"/>
        </w:rPr>
        <w:t xml:space="preserve"> </w:t>
      </w:r>
      <w:r>
        <w:t>değerler</w:t>
      </w:r>
      <w:r>
        <w:rPr>
          <w:spacing w:val="-11"/>
        </w:rPr>
        <w:t xml:space="preserve"> </w:t>
      </w:r>
      <w:r>
        <w:t>ile</w:t>
      </w:r>
      <w:r>
        <w:rPr>
          <w:spacing w:val="-14"/>
        </w:rPr>
        <w:t xml:space="preserve"> </w:t>
      </w:r>
      <w:r>
        <w:t>bulunan çekiş miktarının/miktarlarının, ihale sonucu Sözleşme ile imza altına alınan birim fiyat ile çarpılması ile YÜKLENİCİ tarafından ENERYA’ya biten ayın son günü tarihli faturalandırılacaktır.</w:t>
      </w:r>
    </w:p>
    <w:p w:rsidR="00C1625F" w:rsidRDefault="009766CB">
      <w:pPr>
        <w:pStyle w:val="GvdeMetni"/>
        <w:spacing w:before="120"/>
        <w:ind w:left="543" w:right="108" w:firstLine="0"/>
      </w:pPr>
      <w:r>
        <w:t xml:space="preserve">YÜKLENİCİ talep ettiği taktirde ilgili cihazların kalibrasyon belgeleri ENERYA tarafından </w:t>
      </w:r>
      <w:r>
        <w:lastRenderedPageBreak/>
        <w:t>YÜKLENİCİ’ye sunulacaktır. YÜKLENİCİ’nin talebi doğrultusunda ölçüm ve ölçüm ekipmanları 3516 Sayılı Ölçüler ve Ayarlar Kanunu kapsamında kalibrasyona gönderilebilir veya</w:t>
      </w:r>
      <w:r>
        <w:rPr>
          <w:spacing w:val="-6"/>
        </w:rPr>
        <w:t xml:space="preserve"> </w:t>
      </w:r>
      <w:r>
        <w:t>yerinde</w:t>
      </w:r>
      <w:r>
        <w:rPr>
          <w:spacing w:val="-11"/>
        </w:rPr>
        <w:t xml:space="preserve"> </w:t>
      </w:r>
      <w:r>
        <w:t>kalibre</w:t>
      </w:r>
      <w:r>
        <w:rPr>
          <w:spacing w:val="-10"/>
        </w:rPr>
        <w:t xml:space="preserve"> </w:t>
      </w:r>
      <w:r>
        <w:t>edilebilir.</w:t>
      </w:r>
      <w:r>
        <w:rPr>
          <w:spacing w:val="30"/>
        </w:rPr>
        <w:t xml:space="preserve"> </w:t>
      </w:r>
      <w:r>
        <w:t>Ancak</w:t>
      </w:r>
      <w:r>
        <w:rPr>
          <w:spacing w:val="-9"/>
        </w:rPr>
        <w:t xml:space="preserve"> </w:t>
      </w:r>
      <w:r>
        <w:t>kalibrasyon</w:t>
      </w:r>
      <w:r>
        <w:rPr>
          <w:spacing w:val="-7"/>
        </w:rPr>
        <w:t xml:space="preserve"> </w:t>
      </w:r>
      <w:r>
        <w:t>işlemleri</w:t>
      </w:r>
      <w:r>
        <w:rPr>
          <w:spacing w:val="-8"/>
        </w:rPr>
        <w:t xml:space="preserve"> </w:t>
      </w:r>
      <w:r>
        <w:t>için</w:t>
      </w:r>
      <w:r>
        <w:rPr>
          <w:spacing w:val="-7"/>
        </w:rPr>
        <w:t xml:space="preserve"> </w:t>
      </w:r>
      <w:r>
        <w:t>harcanacak</w:t>
      </w:r>
      <w:r>
        <w:rPr>
          <w:spacing w:val="-9"/>
        </w:rPr>
        <w:t xml:space="preserve"> </w:t>
      </w:r>
      <w:r>
        <w:t>nakliye</w:t>
      </w:r>
      <w:r>
        <w:rPr>
          <w:spacing w:val="-15"/>
        </w:rPr>
        <w:t xml:space="preserve"> </w:t>
      </w:r>
      <w:r>
        <w:t>dahil</w:t>
      </w:r>
      <w:r>
        <w:rPr>
          <w:spacing w:val="-6"/>
        </w:rPr>
        <w:t xml:space="preserve"> </w:t>
      </w:r>
      <w:r>
        <w:t>her türlü maliyet; ölçüm ekipmanlarının ilgili Kanun kapsamında ölçüm standardı içinde olması durumunda YÜKLENİCİ, ölçüm standardı dışında olmasının tespiti halinde ENERYA tarafından karşılanacaktır.</w:t>
      </w:r>
    </w:p>
    <w:p w:rsidR="00C1625F" w:rsidRDefault="00C1625F">
      <w:pPr>
        <w:pStyle w:val="GvdeMetni"/>
        <w:spacing w:before="0"/>
        <w:ind w:left="0" w:firstLine="0"/>
        <w:jc w:val="left"/>
        <w:rPr>
          <w:sz w:val="26"/>
        </w:rPr>
      </w:pPr>
    </w:p>
    <w:p w:rsidR="00C1625F" w:rsidRDefault="009766CB">
      <w:pPr>
        <w:pStyle w:val="Balk1"/>
        <w:numPr>
          <w:ilvl w:val="0"/>
          <w:numId w:val="1"/>
        </w:numPr>
        <w:tabs>
          <w:tab w:val="left" w:pos="543"/>
          <w:tab w:val="left" w:pos="544"/>
        </w:tabs>
        <w:spacing w:before="194"/>
        <w:ind w:hanging="429"/>
      </w:pPr>
      <w:r>
        <w:t>FİYAT</w:t>
      </w:r>
      <w:r>
        <w:rPr>
          <w:spacing w:val="-4"/>
        </w:rPr>
        <w:t xml:space="preserve"> </w:t>
      </w:r>
      <w:r>
        <w:t>FARKI</w:t>
      </w:r>
    </w:p>
    <w:p w:rsidR="002170F9" w:rsidRDefault="002170F9" w:rsidP="002170F9">
      <w:pPr>
        <w:pStyle w:val="GvdeMetni"/>
        <w:spacing w:before="121"/>
        <w:ind w:left="543" w:right="113" w:firstLine="0"/>
      </w:pPr>
      <w:r>
        <w:t>İhale sonucunda oluşan birim fiyat, KDV ve ÖTV hariç olup, LNG’nin, LNG dolum terminalinden/terminallerinden bu sözleşmede bildirilen LNG istasyonuna/istasyonlarına kadar taşınması da dahil tüm maliyeti kapsamakta olup bu fiyata her şey dahildir.</w:t>
      </w:r>
    </w:p>
    <w:p w:rsidR="002170F9" w:rsidRDefault="002170F9" w:rsidP="002170F9">
      <w:pPr>
        <w:pStyle w:val="GvdeMetni"/>
        <w:spacing w:before="121"/>
        <w:ind w:left="543" w:right="113" w:firstLine="0"/>
        <w:rPr>
          <w:lang w:val="tr-TR"/>
        </w:rPr>
      </w:pPr>
      <w:r w:rsidRPr="005D4208">
        <w:t>Bu fiyat içerisindeki bileşenler her aybaşında, aşağıdaki formülde belirtilen şekilde, LNG   satış fiyatına yansıtılarak yeni ay fiyatı oluşacaktır.</w:t>
      </w:r>
      <w:r w:rsidR="005D4208" w:rsidRPr="005D4208">
        <w:t xml:space="preserve"> </w:t>
      </w:r>
      <w:r w:rsidR="005D4208" w:rsidRPr="00D13CFC">
        <w:t xml:space="preserve">İhale fiyatı alım yapılacak ilk aydan önceki bir ayda belirlendi ise ilk fiyatta aynı yöntemle </w:t>
      </w:r>
      <w:proofErr w:type="gramStart"/>
      <w:r w:rsidR="005D4208" w:rsidRPr="00D13CFC">
        <w:t>hesaplanacaktır</w:t>
      </w:r>
      <w:r w:rsidR="005D4208">
        <w:rPr>
          <w:u w:val="single"/>
        </w:rPr>
        <w:t xml:space="preserve"> </w:t>
      </w:r>
      <w:r w:rsidR="005D4208">
        <w:t xml:space="preserve"> </w:t>
      </w:r>
      <w:r w:rsidRPr="005D4208">
        <w:t>Doğal</w:t>
      </w:r>
      <w:proofErr w:type="gramEnd"/>
      <w:r>
        <w:t xml:space="preserve"> Gaz Birim Fiyatı değişikliği YÜKLENİC</w:t>
      </w:r>
      <w:r w:rsidR="005D4208">
        <w:t>İ tarafından DAĞITIM ŞİRKETİ’ne</w:t>
      </w:r>
      <w:r>
        <w:t xml:space="preserve"> yazılı olarak bildirilecektir. Doğal Gaz Birim Fiyatı’ nin değişmesi durumunda ise değişimin gerçekleştiği tarihten itibaren aşağıdaki formülle birim fiyat değişikliği gerçekleştirilecektir. </w:t>
      </w:r>
      <w:r w:rsidRPr="00913A6E">
        <w:t xml:space="preserve">Geçerli olan doğal gaz birim Fiyatı BOTAŞ tarafından aylık </w:t>
      </w:r>
      <w:proofErr w:type="gramStart"/>
      <w:r w:rsidRPr="00913A6E">
        <w:t>olarak  açıklanan</w:t>
      </w:r>
      <w:proofErr w:type="gramEnd"/>
      <w:r w:rsidRPr="00913A6E">
        <w:t xml:space="preserve"> ve YÜKLENİCİ’ nin doğal gaz teminine esas fiyattır.</w:t>
      </w:r>
      <w:r w:rsidRPr="00CF6C26">
        <w:rPr>
          <w:lang w:val="tr-TR"/>
        </w:rPr>
        <w:t xml:space="preserve"> </w:t>
      </w:r>
    </w:p>
    <w:p w:rsidR="002170F9" w:rsidRPr="00CF6C26" w:rsidRDefault="002170F9" w:rsidP="002170F9">
      <w:pPr>
        <w:pStyle w:val="GvdeMetni"/>
        <w:spacing w:before="121"/>
        <w:ind w:left="543" w:right="113" w:firstLine="0"/>
        <w:rPr>
          <w:lang w:val="tr-TR"/>
        </w:rPr>
      </w:pPr>
    </w:p>
    <w:p w:rsidR="002170F9" w:rsidRPr="00CF6C26" w:rsidRDefault="002170F9" w:rsidP="002170F9">
      <w:pPr>
        <w:pStyle w:val="GvdeMetni"/>
        <w:spacing w:before="121"/>
        <w:ind w:left="543" w:right="113"/>
        <w:rPr>
          <w:b/>
          <w:bCs/>
          <w:lang w:val="tr-TR"/>
        </w:rPr>
      </w:pPr>
      <w:r>
        <w:rPr>
          <w:b/>
          <w:bCs/>
          <w:lang w:val="tr-TR"/>
        </w:rPr>
        <w:t xml:space="preserve">             </w:t>
      </w:r>
      <w:r>
        <w:rPr>
          <w:b/>
          <w:bCs/>
          <w:lang w:val="tr-TR"/>
        </w:rPr>
        <w:tab/>
        <w:t xml:space="preserve"> </w:t>
      </w:r>
      <m:oMath>
        <m:sSub>
          <m:sSubPr>
            <m:ctrlPr>
              <w:rPr>
                <w:rFonts w:ascii="Cambria Math" w:hAnsi="Cambria Math"/>
                <w:b/>
                <w:bCs/>
                <w:lang w:val="tr-TR"/>
              </w:rPr>
            </m:ctrlPr>
          </m:sSubPr>
          <m:e>
            <m:r>
              <m:rPr>
                <m:sty m:val="bi"/>
              </m:rPr>
              <w:rPr>
                <w:rFonts w:ascii="Cambria Math" w:hAnsi="Cambria Math"/>
                <w:lang w:val="tr-TR"/>
              </w:rPr>
              <m:t>P</m:t>
            </m:r>
          </m:e>
          <m:sub>
            <m:r>
              <m:rPr>
                <m:sty m:val="bi"/>
              </m:rPr>
              <w:rPr>
                <w:rFonts w:ascii="Cambria Math" w:hAnsi="Cambria Math"/>
                <w:lang w:val="tr-TR"/>
              </w:rPr>
              <m:t>LNG(</m:t>
            </m:r>
            <m:r>
              <m:rPr>
                <m:sty m:val="bi"/>
              </m:rPr>
              <w:rPr>
                <w:rFonts w:ascii="Cambria Math" w:hAnsi="Cambria Math"/>
                <w:lang w:val="tr-TR"/>
              </w:rPr>
              <m:t>Aralık</m:t>
            </m:r>
            <m:r>
              <m:rPr>
                <m:sty m:val="bi"/>
              </m:rPr>
              <w:rPr>
                <w:rFonts w:ascii="Cambria Math" w:hAnsi="Cambria Math"/>
                <w:lang w:val="tr-TR"/>
              </w:rPr>
              <m:t xml:space="preserve"> </m:t>
            </m:r>
            <m:r>
              <m:rPr>
                <m:sty m:val="bi"/>
              </m:rPr>
              <w:rPr>
                <w:rFonts w:ascii="Cambria Math" w:hAnsi="Cambria Math"/>
                <w:lang w:val="tr-TR"/>
              </w:rPr>
              <m:t>2026</m:t>
            </m:r>
            <m:r>
              <m:rPr>
                <m:sty m:val="bi"/>
              </m:rPr>
              <w:rPr>
                <w:rFonts w:ascii="Cambria Math" w:hAnsi="Cambria Math"/>
                <w:lang w:val="tr-TR"/>
              </w:rPr>
              <m:t>)</m:t>
            </m:r>
          </m:sub>
        </m:sSub>
        <m:r>
          <m:rPr>
            <m:sty m:val="bi"/>
          </m:rPr>
          <w:rPr>
            <w:rFonts w:ascii="Cambria Math" w:hAnsi="Cambria Math"/>
            <w:lang w:val="tr-TR"/>
          </w:rPr>
          <m:t>=                                         TL/kwh</m:t>
        </m:r>
      </m:oMath>
      <w:r w:rsidRPr="00CF6C26">
        <w:rPr>
          <w:b/>
          <w:bCs/>
          <w:lang w:val="tr-TR"/>
        </w:rPr>
        <w:t xml:space="preserve"> </w:t>
      </w:r>
    </w:p>
    <w:p w:rsidR="002170F9" w:rsidRPr="00CF6C26" w:rsidRDefault="005D4208" w:rsidP="002170F9">
      <w:pPr>
        <w:pStyle w:val="GvdeMetni"/>
        <w:spacing w:before="121"/>
        <w:ind w:left="543" w:right="113"/>
        <w:rPr>
          <w:b/>
          <w:bCs/>
          <w:lang w:val="tr-TR"/>
        </w:rPr>
      </w:pPr>
      <w:r>
        <w:rPr>
          <w:b/>
          <w:bCs/>
          <w:lang w:val="tr-TR"/>
        </w:rPr>
        <w:tab/>
      </w:r>
      <w:proofErr w:type="gramStart"/>
      <w:r w:rsidRPr="008F134B">
        <w:rPr>
          <w:b/>
          <w:bCs/>
          <w:i/>
          <w:iCs/>
          <w:u w:val="single"/>
        </w:rPr>
        <w:t>P</w:t>
      </w:r>
      <w:r w:rsidR="00D15282">
        <w:rPr>
          <w:b/>
          <w:bCs/>
          <w:i/>
          <w:iCs/>
          <w:u w:val="single"/>
          <w:vertAlign w:val="subscript"/>
        </w:rPr>
        <w:t>LNG(</w:t>
      </w:r>
      <w:proofErr w:type="gramEnd"/>
      <w:r w:rsidR="00D15282">
        <w:rPr>
          <w:b/>
          <w:bCs/>
          <w:i/>
          <w:iCs/>
          <w:u w:val="single"/>
          <w:vertAlign w:val="subscript"/>
        </w:rPr>
        <w:t>Aralık</w:t>
      </w:r>
      <w:r w:rsidRPr="008F134B">
        <w:rPr>
          <w:b/>
          <w:bCs/>
          <w:i/>
          <w:iCs/>
          <w:u w:val="single"/>
          <w:vertAlign w:val="subscript"/>
        </w:rPr>
        <w:t xml:space="preserve"> 202</w:t>
      </w:r>
      <w:r w:rsidR="00D15282">
        <w:rPr>
          <w:b/>
          <w:bCs/>
          <w:i/>
          <w:iCs/>
          <w:u w:val="single"/>
          <w:vertAlign w:val="subscript"/>
        </w:rPr>
        <w:t>6</w:t>
      </w:r>
      <w:r w:rsidRPr="008F134B">
        <w:rPr>
          <w:b/>
          <w:bCs/>
          <w:i/>
          <w:iCs/>
          <w:u w:val="single"/>
          <w:vertAlign w:val="subscript"/>
        </w:rPr>
        <w:t>)</w:t>
      </w:r>
      <w:r w:rsidRPr="008F134B">
        <w:rPr>
          <w:vertAlign w:val="subscript"/>
        </w:rPr>
        <w:t xml:space="preserve"> </w:t>
      </w:r>
      <w:r w:rsidRPr="008F134B">
        <w:t>= İhale sonucunda oluşan fiyat + ÖTV</w:t>
      </w:r>
    </w:p>
    <w:p w:rsidR="002170F9" w:rsidRPr="00CF6C26" w:rsidRDefault="005956EB" w:rsidP="002170F9">
      <w:pPr>
        <w:pStyle w:val="GvdeMetni"/>
        <w:spacing w:before="121"/>
        <w:ind w:left="543" w:right="113" w:firstLine="177"/>
        <w:rPr>
          <w:b/>
          <w:bCs/>
          <w:lang w:val="tr-TR"/>
        </w:rPr>
      </w:pPr>
      <m:oMathPara>
        <m:oMathParaPr>
          <m:jc m:val="left"/>
        </m:oMathParaPr>
        <m:oMath>
          <m:sSub>
            <m:sSubPr>
              <m:ctrlPr>
                <w:rPr>
                  <w:rFonts w:ascii="Cambria Math" w:hAnsi="Cambria Math"/>
                  <w:b/>
                  <w:bCs/>
                  <w:lang w:val="tr-TR"/>
                </w:rPr>
              </m:ctrlPr>
            </m:sSubPr>
            <m:e>
              <m:r>
                <m:rPr>
                  <m:sty m:val="bi"/>
                </m:rPr>
                <w:rPr>
                  <w:rFonts w:ascii="Cambria Math" w:hAnsi="Cambria Math"/>
                  <w:lang w:val="tr-TR"/>
                </w:rPr>
                <m:t>P</m:t>
              </m:r>
            </m:e>
            <m:sub>
              <m:r>
                <m:rPr>
                  <m:sty m:val="bi"/>
                </m:rPr>
                <w:rPr>
                  <w:rFonts w:ascii="Cambria Math" w:hAnsi="Cambria Math"/>
                  <w:lang w:val="tr-TR"/>
                </w:rPr>
                <m:t>LNG(i)</m:t>
              </m:r>
            </m:sub>
          </m:sSub>
          <m:r>
            <m:rPr>
              <m:sty m:val="bi"/>
            </m:rPr>
            <w:rPr>
              <w:rFonts w:ascii="Cambria Math" w:hAnsi="Cambria Math"/>
              <w:lang w:val="tr-TR"/>
            </w:rPr>
            <m:t>=</m:t>
          </m:r>
          <m:sSub>
            <m:sSubPr>
              <m:ctrlPr>
                <w:rPr>
                  <w:rFonts w:ascii="Cambria Math" w:hAnsi="Cambria Math"/>
                  <w:b/>
                  <w:bCs/>
                  <w:lang w:val="tr-TR"/>
                </w:rPr>
              </m:ctrlPr>
            </m:sSubPr>
            <m:e>
              <m:r>
                <m:rPr>
                  <m:sty m:val="bi"/>
                </m:rPr>
                <w:rPr>
                  <w:rFonts w:ascii="Cambria Math" w:hAnsi="Cambria Math"/>
                  <w:lang w:val="tr-TR"/>
                </w:rPr>
                <m:t>B</m:t>
              </m:r>
            </m:e>
            <m:sub>
              <m:r>
                <m:rPr>
                  <m:sty m:val="bi"/>
                </m:rPr>
                <w:rPr>
                  <w:rFonts w:ascii="Cambria Math" w:hAnsi="Cambria Math"/>
                  <w:lang w:val="tr-TR"/>
                </w:rPr>
                <m:t>LNG+SKB(i)</m:t>
              </m:r>
            </m:sub>
          </m:sSub>
          <m:r>
            <m:rPr>
              <m:sty m:val="bi"/>
            </m:rPr>
            <w:rPr>
              <w:rFonts w:ascii="Cambria Math" w:hAnsi="Cambria Math"/>
              <w:lang w:val="tr-TR"/>
            </w:rPr>
            <m:t>+</m:t>
          </m:r>
          <m:sSub>
            <m:sSubPr>
              <m:ctrlPr>
                <w:rPr>
                  <w:rFonts w:ascii="Cambria Math" w:hAnsi="Cambria Math"/>
                  <w:b/>
                  <w:bCs/>
                  <w:lang w:val="tr-TR"/>
                </w:rPr>
              </m:ctrlPr>
            </m:sSubPr>
            <m:e>
              <m:r>
                <m:rPr>
                  <m:sty m:val="bi"/>
                </m:rPr>
                <w:rPr>
                  <w:rFonts w:ascii="Cambria Math" w:hAnsi="Cambria Math"/>
                  <w:lang w:val="tr-TR"/>
                </w:rPr>
                <m:t>S</m:t>
              </m:r>
            </m:e>
            <m:sub>
              <m:r>
                <m:rPr>
                  <m:sty m:val="bi"/>
                </m:rPr>
                <w:rPr>
                  <w:rFonts w:ascii="Cambria Math" w:hAnsi="Cambria Math"/>
                  <w:lang w:val="tr-TR"/>
                </w:rPr>
                <m:t>P(i)</m:t>
              </m:r>
            </m:sub>
          </m:sSub>
        </m:oMath>
      </m:oMathPara>
    </w:p>
    <w:p w:rsidR="002170F9" w:rsidRPr="00CF6C26" w:rsidRDefault="002170F9" w:rsidP="002170F9">
      <w:pPr>
        <w:pStyle w:val="GvdeMetni"/>
        <w:spacing w:before="121"/>
        <w:ind w:left="543" w:right="113"/>
        <w:rPr>
          <w:bCs/>
          <w:lang w:val="tr-TR"/>
        </w:rPr>
      </w:pPr>
    </w:p>
    <w:p w:rsidR="002170F9" w:rsidRPr="00CF6C26" w:rsidRDefault="002170F9" w:rsidP="002170F9">
      <w:pPr>
        <w:pStyle w:val="GvdeMetni"/>
        <w:spacing w:before="121"/>
        <w:ind w:left="543" w:right="113" w:firstLine="0"/>
        <w:rPr>
          <w:lang w:val="tr-TR"/>
        </w:rPr>
      </w:pPr>
      <w:r w:rsidRPr="00CF6C26">
        <w:rPr>
          <w:b/>
          <w:u w:val="single"/>
          <w:lang w:val="tr-TR"/>
        </w:rPr>
        <w:t>P</w:t>
      </w:r>
      <w:r>
        <w:rPr>
          <w:b/>
          <w:u w:val="single"/>
          <w:vertAlign w:val="subscript"/>
          <w:lang w:val="tr-TR"/>
        </w:rPr>
        <w:t>LNG</w:t>
      </w:r>
      <w:r w:rsidRPr="00CF6C26">
        <w:rPr>
          <w:b/>
          <w:u w:val="single"/>
          <w:vertAlign w:val="subscript"/>
          <w:lang w:val="tr-TR"/>
        </w:rPr>
        <w:t>(i)</w:t>
      </w:r>
      <w:r w:rsidRPr="00CF6C26">
        <w:rPr>
          <w:vertAlign w:val="subscript"/>
          <w:lang w:val="tr-TR"/>
        </w:rPr>
        <w:t xml:space="preserve"> </w:t>
      </w:r>
      <w:r w:rsidRPr="00CF6C26">
        <w:rPr>
          <w:lang w:val="tr-TR"/>
        </w:rPr>
        <w:t xml:space="preserve">= </w:t>
      </w:r>
      <m:oMath>
        <m:r>
          <m:rPr>
            <m:sty m:val="bi"/>
          </m:rPr>
          <w:rPr>
            <w:rFonts w:ascii="Cambria Math" w:hAnsi="Cambria Math"/>
            <w:lang w:val="tr-TR"/>
          </w:rPr>
          <m:t>(i)</m:t>
        </m:r>
      </m:oMath>
      <w:r w:rsidRPr="00CF6C26">
        <w:rPr>
          <w:lang w:val="tr-TR"/>
        </w:rPr>
        <w:t xml:space="preserve"> ayında Dağıtım Şirketine yapılacak </w:t>
      </w:r>
      <w:r>
        <w:rPr>
          <w:lang w:val="tr-TR"/>
        </w:rPr>
        <w:t>LNG</w:t>
      </w:r>
      <w:r w:rsidRPr="00CF6C26">
        <w:rPr>
          <w:lang w:val="tr-TR"/>
        </w:rPr>
        <w:t xml:space="preserve"> satışında kullanılacak ola</w:t>
      </w:r>
      <w:r>
        <w:rPr>
          <w:lang w:val="tr-TR"/>
        </w:rPr>
        <w:t>n LNG satış birim fiyatı (TL/kwh</w:t>
      </w:r>
      <w:r w:rsidRPr="00CF6C26">
        <w:rPr>
          <w:lang w:val="tr-TR"/>
        </w:rPr>
        <w:t>)</w:t>
      </w:r>
    </w:p>
    <w:p w:rsidR="002170F9" w:rsidRPr="00CF6C26" w:rsidRDefault="002170F9" w:rsidP="002170F9">
      <w:pPr>
        <w:pStyle w:val="GvdeMetni"/>
        <w:spacing w:before="121"/>
        <w:ind w:left="543" w:right="113" w:firstLine="0"/>
        <w:rPr>
          <w:lang w:val="tr-TR"/>
        </w:rPr>
      </w:pPr>
      <w:r w:rsidRPr="00CF6C26">
        <w:rPr>
          <w:b/>
          <w:u w:val="single"/>
          <w:lang w:val="tr-TR"/>
        </w:rPr>
        <w:t>B</w:t>
      </w:r>
      <w:r>
        <w:rPr>
          <w:b/>
          <w:u w:val="single"/>
          <w:vertAlign w:val="subscript"/>
          <w:lang w:val="tr-TR"/>
        </w:rPr>
        <w:t>LNG</w:t>
      </w:r>
      <w:r w:rsidRPr="00CF6C26">
        <w:rPr>
          <w:b/>
          <w:u w:val="single"/>
          <w:vertAlign w:val="subscript"/>
          <w:lang w:val="tr-TR"/>
        </w:rPr>
        <w:t>+SKB(i)</w:t>
      </w:r>
      <w:r w:rsidRPr="00CF6C26">
        <w:rPr>
          <w:vertAlign w:val="subscript"/>
          <w:lang w:val="tr-TR"/>
        </w:rPr>
        <w:t xml:space="preserve"> </w:t>
      </w:r>
      <w:r w:rsidRPr="00CF6C26">
        <w:rPr>
          <w:lang w:val="tr-TR"/>
        </w:rPr>
        <w:t xml:space="preserve">= </w:t>
      </w:r>
      <m:oMath>
        <m:r>
          <m:rPr>
            <m:sty m:val="bi"/>
          </m:rPr>
          <w:rPr>
            <w:rFonts w:ascii="Cambria Math" w:hAnsi="Cambria Math"/>
            <w:lang w:val="tr-TR"/>
          </w:rPr>
          <m:t>(i)</m:t>
        </m:r>
      </m:oMath>
      <w:r w:rsidRPr="00CF6C26">
        <w:rPr>
          <w:lang w:val="tr-TR"/>
        </w:rPr>
        <w:t xml:space="preserve"> ayı için geçerli olan ÖTV ve İlgili Dağıtım Bölgesi Sistem Kullanım Bedeli </w:t>
      </w:r>
      <w:proofErr w:type="gramStart"/>
      <w:r w:rsidRPr="00CF6C26">
        <w:rPr>
          <w:lang w:val="tr-TR"/>
        </w:rPr>
        <w:t>dahil</w:t>
      </w:r>
      <w:proofErr w:type="gramEnd"/>
      <w:r w:rsidRPr="00CF6C26">
        <w:rPr>
          <w:lang w:val="tr-TR"/>
        </w:rPr>
        <w:t xml:space="preserve">, BOTAŞ'tan Doğal Gaz Satın Alan </w:t>
      </w:r>
      <w:r>
        <w:rPr>
          <w:lang w:val="tr-TR"/>
        </w:rPr>
        <w:t>LNG</w:t>
      </w:r>
      <w:r w:rsidRPr="00CF6C26">
        <w:rPr>
          <w:lang w:val="tr-TR"/>
        </w:rPr>
        <w:t xml:space="preserve"> Müşterilerinin Dağıtım Şirketi Statüsündeki Müşterilerine Yapılan Satışları için uygulanan </w:t>
      </w:r>
      <w:r>
        <w:rPr>
          <w:lang w:val="tr-TR"/>
        </w:rPr>
        <w:t>LNG</w:t>
      </w:r>
      <w:r w:rsidRPr="00CF6C26">
        <w:rPr>
          <w:lang w:val="tr-TR"/>
        </w:rPr>
        <w:t xml:space="preserve"> satış birim fiyatıdır</w:t>
      </w:r>
      <w:r>
        <w:rPr>
          <w:lang w:val="tr-TR"/>
        </w:rPr>
        <w:t xml:space="preserve"> (TL/kwh</w:t>
      </w:r>
      <w:r w:rsidRPr="00CF6C26">
        <w:rPr>
          <w:lang w:val="tr-TR"/>
        </w:rPr>
        <w:t>).</w:t>
      </w:r>
    </w:p>
    <w:p w:rsidR="002170F9" w:rsidRPr="00CF6C26" w:rsidRDefault="002170F9" w:rsidP="002170F9">
      <w:pPr>
        <w:pStyle w:val="GvdeMetni"/>
        <w:spacing w:before="121"/>
        <w:ind w:left="543" w:right="113" w:firstLine="0"/>
        <w:rPr>
          <w:lang w:val="tr-TR"/>
        </w:rPr>
      </w:pPr>
      <w:r w:rsidRPr="00CF6C26">
        <w:rPr>
          <w:b/>
          <w:u w:val="single"/>
          <w:lang w:val="tr-TR"/>
        </w:rPr>
        <w:t>S</w:t>
      </w:r>
      <w:r w:rsidRPr="00CF6C26">
        <w:rPr>
          <w:b/>
          <w:u w:val="single"/>
          <w:vertAlign w:val="subscript"/>
          <w:lang w:val="tr-TR"/>
        </w:rPr>
        <w:t>P(i)</w:t>
      </w:r>
      <w:r w:rsidRPr="00CF6C26">
        <w:rPr>
          <w:b/>
          <w:vertAlign w:val="subscript"/>
          <w:lang w:val="tr-TR"/>
        </w:rPr>
        <w:t xml:space="preserve"> </w:t>
      </w:r>
      <w:r w:rsidRPr="00CF6C26">
        <w:rPr>
          <w:lang w:val="tr-TR"/>
        </w:rPr>
        <w:t xml:space="preserve">= </w:t>
      </w:r>
      <m:oMath>
        <m:r>
          <m:rPr>
            <m:sty m:val="bi"/>
          </m:rPr>
          <w:rPr>
            <w:rFonts w:ascii="Cambria Math" w:hAnsi="Cambria Math"/>
            <w:lang w:val="tr-TR"/>
          </w:rPr>
          <m:t>(i)</m:t>
        </m:r>
      </m:oMath>
      <w:r w:rsidRPr="00CF6C26">
        <w:rPr>
          <w:lang w:val="tr-TR"/>
        </w:rPr>
        <w:t xml:space="preserve"> ayı için Yüklenicinin masrafları ve kar </w:t>
      </w:r>
      <w:proofErr w:type="gramStart"/>
      <w:r w:rsidRPr="00CF6C26">
        <w:rPr>
          <w:lang w:val="tr-TR"/>
        </w:rPr>
        <w:t>marjıdır</w:t>
      </w:r>
      <w:proofErr w:type="gramEnd"/>
      <w:r w:rsidRPr="00CF6C26">
        <w:rPr>
          <w:lang w:val="tr-TR"/>
        </w:rPr>
        <w:t>. İhalede oluşan bedelden B</w:t>
      </w:r>
      <w:r>
        <w:rPr>
          <w:vertAlign w:val="subscript"/>
          <w:lang w:val="tr-TR"/>
        </w:rPr>
        <w:t>LNG</w:t>
      </w:r>
      <w:r w:rsidRPr="00CF6C26">
        <w:rPr>
          <w:vertAlign w:val="subscript"/>
          <w:lang w:val="tr-TR"/>
        </w:rPr>
        <w:t>+SKB</w:t>
      </w:r>
      <w:r w:rsidRPr="00CF6C26">
        <w:rPr>
          <w:lang w:val="tr-TR"/>
        </w:rPr>
        <w:t xml:space="preserve"> be</w:t>
      </w:r>
      <w:r>
        <w:rPr>
          <w:lang w:val="tr-TR"/>
        </w:rPr>
        <w:t>delinin düşülmüş halidir (TL/kwh</w:t>
      </w:r>
      <w:r w:rsidRPr="00CF6C26">
        <w:rPr>
          <w:lang w:val="tr-TR"/>
        </w:rPr>
        <w:t>).</w:t>
      </w:r>
    </w:p>
    <w:p w:rsidR="002170F9" w:rsidRPr="00CF6C26" w:rsidRDefault="002170F9" w:rsidP="002170F9">
      <w:pPr>
        <w:pStyle w:val="GvdeMetni"/>
        <w:spacing w:before="121"/>
        <w:ind w:left="543" w:right="113" w:firstLine="0"/>
        <w:rPr>
          <w:lang w:val="tr-TR"/>
        </w:rPr>
      </w:pPr>
      <w:r w:rsidRPr="00CF6C26">
        <w:rPr>
          <w:b/>
          <w:u w:val="single"/>
          <w:lang w:val="tr-TR"/>
        </w:rPr>
        <w:t>B</w:t>
      </w:r>
      <w:r>
        <w:rPr>
          <w:b/>
          <w:u w:val="single"/>
          <w:vertAlign w:val="subscript"/>
          <w:lang w:val="tr-TR"/>
        </w:rPr>
        <w:t>LNG</w:t>
      </w:r>
      <w:r w:rsidRPr="00CF6C26">
        <w:rPr>
          <w:b/>
          <w:u w:val="single"/>
          <w:vertAlign w:val="subscript"/>
          <w:lang w:val="tr-TR"/>
        </w:rPr>
        <w:t>+SKB(i)</w:t>
      </w:r>
      <w:r w:rsidRPr="00CF6C26">
        <w:rPr>
          <w:b/>
          <w:vertAlign w:val="subscript"/>
          <w:lang w:val="tr-TR"/>
        </w:rPr>
        <w:t xml:space="preserve"> </w:t>
      </w:r>
      <w:r w:rsidRPr="00CF6C26">
        <w:rPr>
          <w:lang w:val="tr-TR"/>
        </w:rPr>
        <w:t>= Her ay BOTAŞ ve İlgili Dağıtım Şirketi tarafından açıklanan birim fiyata göre güncellenecektir.</w:t>
      </w:r>
    </w:p>
    <w:p w:rsidR="002170F9" w:rsidRPr="00CF6C26" w:rsidRDefault="005956EB" w:rsidP="002170F9">
      <w:pPr>
        <w:pStyle w:val="GvdeMetni"/>
        <w:spacing w:before="121"/>
        <w:ind w:left="543" w:right="113"/>
        <w:rPr>
          <w:b/>
          <w:lang w:val="tr-TR"/>
        </w:rPr>
      </w:pPr>
      <m:oMathPara>
        <m:oMathParaPr>
          <m:jc m:val="left"/>
        </m:oMathParaPr>
        <m:oMath>
          <m:sSub>
            <m:sSubPr>
              <m:ctrlPr>
                <w:rPr>
                  <w:rFonts w:ascii="Cambria Math" w:hAnsi="Cambria Math"/>
                  <w:b/>
                  <w:bCs/>
                  <w:lang w:val="tr-TR"/>
                </w:rPr>
              </m:ctrlPr>
            </m:sSubPr>
            <m:e>
              <m:r>
                <m:rPr>
                  <m:sty m:val="bi"/>
                </m:rPr>
                <w:rPr>
                  <w:rFonts w:ascii="Cambria Math" w:hAnsi="Cambria Math"/>
                  <w:lang w:val="tr-TR"/>
                </w:rPr>
                <m:t>S</m:t>
              </m:r>
            </m:e>
            <m:sub>
              <m:r>
                <m:rPr>
                  <m:sty m:val="bi"/>
                </m:rPr>
                <w:rPr>
                  <w:rFonts w:ascii="Cambria Math" w:hAnsi="Cambria Math"/>
                  <w:lang w:val="tr-TR"/>
                </w:rPr>
                <m:t>P(i)</m:t>
              </m:r>
            </m:sub>
          </m:sSub>
          <m:r>
            <m:rPr>
              <m:sty m:val="bi"/>
            </m:rPr>
            <w:rPr>
              <w:rFonts w:ascii="Cambria Math" w:hAnsi="Cambria Math"/>
              <w:lang w:val="tr-TR"/>
            </w:rPr>
            <m:t>=</m:t>
          </m:r>
          <m:sSub>
            <m:sSubPr>
              <m:ctrlPr>
                <w:rPr>
                  <w:rFonts w:ascii="Cambria Math" w:hAnsi="Cambria Math"/>
                  <w:b/>
                  <w:bCs/>
                  <w:lang w:val="tr-TR"/>
                </w:rPr>
              </m:ctrlPr>
            </m:sSubPr>
            <m:e>
              <m:r>
                <m:rPr>
                  <m:sty m:val="bi"/>
                </m:rPr>
                <w:rPr>
                  <w:rFonts w:ascii="Cambria Math" w:hAnsi="Cambria Math"/>
                  <w:lang w:val="tr-TR"/>
                </w:rPr>
                <m:t>S</m:t>
              </m:r>
            </m:e>
            <m:sub>
              <m:r>
                <m:rPr>
                  <m:sty m:val="bi"/>
                </m:rPr>
                <w:rPr>
                  <w:rFonts w:ascii="Cambria Math" w:hAnsi="Cambria Math"/>
                  <w:lang w:val="tr-TR"/>
                </w:rPr>
                <m:t>P(i-1)</m:t>
              </m:r>
            </m:sub>
          </m:sSub>
          <m:r>
            <m:rPr>
              <m:sty m:val="bi"/>
            </m:rPr>
            <w:rPr>
              <w:rFonts w:ascii="Cambria Math" w:hAnsi="Cambria Math"/>
              <w:lang w:val="tr-TR"/>
            </w:rPr>
            <m:t>*(1+</m:t>
          </m:r>
          <m:r>
            <m:rPr>
              <m:sty m:val="b"/>
            </m:rPr>
            <w:rPr>
              <w:rFonts w:ascii="Cambria Math" w:hAnsi="Cambria Math"/>
              <w:lang w:val="tr-TR"/>
            </w:rPr>
            <m:t>Yİ</m:t>
          </m:r>
          <m:r>
            <m:rPr>
              <m:sty m:val="bi"/>
            </m:rPr>
            <w:rPr>
              <w:rFonts w:ascii="Cambria Math" w:hAnsi="Cambria Math"/>
              <w:lang w:val="tr-TR"/>
            </w:rPr>
            <m:t>-</m:t>
          </m:r>
          <m:sSub>
            <m:sSubPr>
              <m:ctrlPr>
                <w:rPr>
                  <w:rFonts w:ascii="Cambria Math" w:hAnsi="Cambria Math"/>
                  <w:b/>
                  <w:bCs/>
                  <w:lang w:val="tr-TR"/>
                </w:rPr>
              </m:ctrlPr>
            </m:sSubPr>
            <m:e>
              <m:r>
                <m:rPr>
                  <m:sty m:val="bi"/>
                </m:rPr>
                <w:rPr>
                  <w:rFonts w:ascii="Cambria Math" w:hAnsi="Cambria Math"/>
                  <w:lang w:val="tr-TR"/>
                </w:rPr>
                <m:t>TÜFE</m:t>
              </m:r>
            </m:e>
            <m:sub>
              <m:r>
                <m:rPr>
                  <m:sty m:val="bi"/>
                </m:rPr>
                <w:rPr>
                  <w:rFonts w:ascii="Cambria Math" w:hAnsi="Cambria Math"/>
                  <w:lang w:val="tr-TR"/>
                </w:rPr>
                <m:t>(i-2)</m:t>
              </m:r>
            </m:sub>
          </m:sSub>
          <m:r>
            <m:rPr>
              <m:sty m:val="bi"/>
            </m:rPr>
            <w:rPr>
              <w:rFonts w:ascii="Cambria Math" w:hAnsi="Cambria Math"/>
              <w:lang w:val="tr-TR"/>
            </w:rPr>
            <m:t>)</m:t>
          </m:r>
        </m:oMath>
      </m:oMathPara>
    </w:p>
    <w:p w:rsidR="002170F9" w:rsidRPr="00CF6C26" w:rsidRDefault="002170F9" w:rsidP="002170F9">
      <w:pPr>
        <w:pStyle w:val="GvdeMetni"/>
        <w:spacing w:before="121"/>
        <w:ind w:left="543" w:right="113"/>
        <w:rPr>
          <w:lang w:val="tr-TR"/>
        </w:rPr>
      </w:pPr>
    </w:p>
    <w:p w:rsidR="002170F9" w:rsidRPr="00CF6C26" w:rsidRDefault="002170F9" w:rsidP="002170F9">
      <w:pPr>
        <w:pStyle w:val="GvdeMetni"/>
        <w:spacing w:before="121"/>
        <w:ind w:left="543" w:right="113" w:firstLine="0"/>
        <w:rPr>
          <w:lang w:val="tr-TR"/>
        </w:rPr>
      </w:pPr>
      <w:r w:rsidRPr="00CF6C26">
        <w:rPr>
          <w:b/>
          <w:u w:val="single"/>
          <w:lang w:val="tr-TR"/>
        </w:rPr>
        <w:t>S</w:t>
      </w:r>
      <w:r w:rsidRPr="00CF6C26">
        <w:rPr>
          <w:b/>
          <w:u w:val="single"/>
          <w:vertAlign w:val="subscript"/>
          <w:lang w:val="tr-TR"/>
        </w:rPr>
        <w:t>P(i-1)</w:t>
      </w:r>
      <w:r w:rsidRPr="00CF6C26">
        <w:rPr>
          <w:u w:val="single"/>
          <w:vertAlign w:val="subscript"/>
          <w:lang w:val="tr-TR"/>
        </w:rPr>
        <w:t xml:space="preserve"> </w:t>
      </w:r>
      <w:r w:rsidRPr="00CF6C26">
        <w:rPr>
          <w:lang w:val="tr-TR"/>
        </w:rPr>
        <w:t xml:space="preserve">= </w:t>
      </w:r>
      <m:oMath>
        <m:r>
          <w:rPr>
            <w:rFonts w:ascii="Cambria Math" w:hAnsi="Cambria Math"/>
            <w:lang w:val="tr-TR"/>
          </w:rPr>
          <m:t>(</m:t>
        </m:r>
        <m:r>
          <m:rPr>
            <m:sty m:val="bi"/>
          </m:rPr>
          <w:rPr>
            <w:rFonts w:ascii="Cambria Math" w:hAnsi="Cambria Math"/>
            <w:lang w:val="tr-TR"/>
          </w:rPr>
          <m:t>i</m:t>
        </m:r>
      </m:oMath>
      <w:r w:rsidRPr="00CF6C26">
        <w:rPr>
          <w:lang w:val="tr-TR"/>
        </w:rPr>
        <w:t>-1)’inci ayda uygulanan Yüklenici mas</w:t>
      </w:r>
      <w:r>
        <w:rPr>
          <w:lang w:val="tr-TR"/>
        </w:rPr>
        <w:t xml:space="preserve">raf ve kar </w:t>
      </w:r>
      <w:proofErr w:type="gramStart"/>
      <w:r>
        <w:rPr>
          <w:lang w:val="tr-TR"/>
        </w:rPr>
        <w:t>marjı</w:t>
      </w:r>
      <w:proofErr w:type="gramEnd"/>
      <w:r>
        <w:rPr>
          <w:lang w:val="tr-TR"/>
        </w:rPr>
        <w:t xml:space="preserve"> payıdır (TL/kwh</w:t>
      </w:r>
      <w:r w:rsidRPr="00CF6C26">
        <w:rPr>
          <w:lang w:val="tr-TR"/>
        </w:rPr>
        <w:t>).</w:t>
      </w:r>
    </w:p>
    <w:p w:rsidR="002170F9" w:rsidRDefault="002170F9" w:rsidP="002170F9">
      <w:pPr>
        <w:pStyle w:val="GvdeMetni"/>
        <w:spacing w:before="121"/>
        <w:ind w:left="543" w:right="113" w:firstLine="0"/>
        <w:rPr>
          <w:lang w:val="tr-TR"/>
        </w:rPr>
      </w:pPr>
      <w:r w:rsidRPr="00CF6C26">
        <w:rPr>
          <w:b/>
          <w:u w:val="single"/>
          <w:lang w:val="tr-TR"/>
        </w:rPr>
        <w:t>Yİ-TÜFE</w:t>
      </w:r>
      <w:r w:rsidRPr="00CF6C26">
        <w:rPr>
          <w:b/>
          <w:u w:val="single"/>
          <w:vertAlign w:val="subscript"/>
          <w:lang w:val="tr-TR"/>
        </w:rPr>
        <w:t>(i-2)</w:t>
      </w:r>
      <w:r w:rsidRPr="00CF6C26">
        <w:rPr>
          <w:vertAlign w:val="subscript"/>
          <w:lang w:val="tr-TR"/>
        </w:rPr>
        <w:t xml:space="preserve"> </w:t>
      </w:r>
      <w:r w:rsidRPr="00CF6C26">
        <w:rPr>
          <w:lang w:val="tr-TR"/>
        </w:rPr>
        <w:t xml:space="preserve">= </w:t>
      </w:r>
      <m:oMath>
        <m:r>
          <w:rPr>
            <w:rFonts w:ascii="Cambria Math" w:hAnsi="Cambria Math"/>
            <w:lang w:val="tr-TR"/>
          </w:rPr>
          <m:t>(</m:t>
        </m:r>
        <m:r>
          <m:rPr>
            <m:sty m:val="bi"/>
          </m:rPr>
          <w:rPr>
            <w:rFonts w:ascii="Cambria Math" w:hAnsi="Cambria Math"/>
            <w:lang w:val="tr-TR"/>
          </w:rPr>
          <m:t>i</m:t>
        </m:r>
      </m:oMath>
      <w:r w:rsidRPr="00CF6C26">
        <w:rPr>
          <w:lang w:val="tr-TR"/>
        </w:rPr>
        <w:t xml:space="preserve">-2)’nci ayda Yurt İçi Tüketici Fiyat Endeksi’nde meydana gelen ve </w:t>
      </w:r>
      <m:oMath>
        <m:r>
          <w:rPr>
            <w:rFonts w:ascii="Cambria Math" w:hAnsi="Cambria Math"/>
            <w:lang w:val="tr-TR"/>
          </w:rPr>
          <m:t>(</m:t>
        </m:r>
        <m:r>
          <m:rPr>
            <m:sty m:val="bi"/>
          </m:rPr>
          <w:rPr>
            <w:rFonts w:ascii="Cambria Math" w:hAnsi="Cambria Math"/>
            <w:lang w:val="tr-TR"/>
          </w:rPr>
          <m:t>i</m:t>
        </m:r>
      </m:oMath>
      <w:r w:rsidRPr="00CF6C26">
        <w:rPr>
          <w:lang w:val="tr-TR"/>
        </w:rPr>
        <w:t>-1)’inci ay içinde açıklana</w:t>
      </w:r>
      <w:r>
        <w:rPr>
          <w:lang w:val="tr-TR"/>
        </w:rPr>
        <w:t>n</w:t>
      </w:r>
      <w:r w:rsidRPr="00CF6C26">
        <w:rPr>
          <w:lang w:val="tr-TR"/>
        </w:rPr>
        <w:t xml:space="preserve"> değişim oranı (%)</w:t>
      </w:r>
    </w:p>
    <w:p w:rsidR="002170F9" w:rsidRDefault="002170F9" w:rsidP="002170F9">
      <w:pPr>
        <w:pStyle w:val="GvdeMetni"/>
        <w:spacing w:before="121"/>
        <w:ind w:left="543" w:right="113" w:firstLine="0"/>
      </w:pPr>
    </w:p>
    <w:p w:rsidR="002170F9" w:rsidRDefault="002170F9" w:rsidP="002170F9">
      <w:pPr>
        <w:pStyle w:val="Balk1"/>
        <w:numPr>
          <w:ilvl w:val="0"/>
          <w:numId w:val="1"/>
        </w:numPr>
        <w:tabs>
          <w:tab w:val="left" w:pos="543"/>
          <w:tab w:val="left" w:pos="544"/>
        </w:tabs>
        <w:ind w:hanging="429"/>
      </w:pPr>
      <w:r>
        <w:t>CEZALAR</w:t>
      </w:r>
    </w:p>
    <w:p w:rsidR="00C1625F" w:rsidRDefault="002170F9" w:rsidP="00D617F9">
      <w:pPr>
        <w:pStyle w:val="GvdeMetni"/>
        <w:spacing w:before="121"/>
        <w:ind w:left="543" w:right="113" w:firstLine="0"/>
        <w:sectPr w:rsidR="00C1625F">
          <w:footerReference w:type="default" r:id="rId8"/>
          <w:pgSz w:w="11900" w:h="16840"/>
          <w:pgMar w:top="1340" w:right="1300" w:bottom="1180" w:left="1300" w:header="0" w:footer="988" w:gutter="0"/>
          <w:cols w:space="720"/>
        </w:sectPr>
      </w:pPr>
      <w:r>
        <w:t>Teknik Şartname’nin 4.3. maddesinde belirtilen sürede, sipariş teslim edilemediğinde (mücbir sebep halleri dışında) YÜKLENİCİ’ye ihtarlı 1 (bir) gün ek süre verilir. Bu süre içerisinde</w:t>
      </w:r>
      <w:r>
        <w:rPr>
          <w:spacing w:val="-10"/>
        </w:rPr>
        <w:t xml:space="preserve"> </w:t>
      </w:r>
      <w:r>
        <w:t>YÜKLENİCİ</w:t>
      </w:r>
      <w:r>
        <w:rPr>
          <w:spacing w:val="-7"/>
        </w:rPr>
        <w:t xml:space="preserve"> </w:t>
      </w:r>
      <w:r>
        <w:t>gecikilen</w:t>
      </w:r>
      <w:r>
        <w:rPr>
          <w:spacing w:val="-5"/>
        </w:rPr>
        <w:t xml:space="preserve"> </w:t>
      </w:r>
      <w:r>
        <w:t>her</w:t>
      </w:r>
      <w:r>
        <w:rPr>
          <w:spacing w:val="-8"/>
        </w:rPr>
        <w:t xml:space="preserve"> </w:t>
      </w:r>
      <w:r>
        <w:t>gün</w:t>
      </w:r>
      <w:r>
        <w:rPr>
          <w:spacing w:val="-6"/>
        </w:rPr>
        <w:t xml:space="preserve"> </w:t>
      </w:r>
      <w:r>
        <w:t>için</w:t>
      </w:r>
      <w:r>
        <w:rPr>
          <w:spacing w:val="-6"/>
        </w:rPr>
        <w:t xml:space="preserve"> </w:t>
      </w:r>
      <w:r>
        <w:t>Sözleşme</w:t>
      </w:r>
      <w:r>
        <w:rPr>
          <w:spacing w:val="-9"/>
        </w:rPr>
        <w:t xml:space="preserve"> </w:t>
      </w:r>
      <w:r>
        <w:t>Bedeli</w:t>
      </w:r>
      <w:r>
        <w:rPr>
          <w:spacing w:val="-7"/>
        </w:rPr>
        <w:t xml:space="preserve"> </w:t>
      </w:r>
      <w:r>
        <w:t>üzerinden</w:t>
      </w:r>
      <w:r>
        <w:rPr>
          <w:spacing w:val="-5"/>
        </w:rPr>
        <w:t xml:space="preserve"> </w:t>
      </w:r>
      <w:r>
        <w:t>%</w:t>
      </w:r>
      <w:r>
        <w:rPr>
          <w:spacing w:val="-7"/>
        </w:rPr>
        <w:t xml:space="preserve"> </w:t>
      </w:r>
      <w:r>
        <w:t>0,05</w:t>
      </w:r>
      <w:r>
        <w:rPr>
          <w:spacing w:val="-5"/>
        </w:rPr>
        <w:t xml:space="preserve"> </w:t>
      </w:r>
      <w:r>
        <w:t>(onbindebeş) oranında</w:t>
      </w:r>
      <w:r>
        <w:rPr>
          <w:spacing w:val="-6"/>
        </w:rPr>
        <w:t xml:space="preserve"> </w:t>
      </w:r>
      <w:r>
        <w:t>ceza</w:t>
      </w:r>
      <w:r>
        <w:rPr>
          <w:spacing w:val="-11"/>
        </w:rPr>
        <w:t xml:space="preserve"> </w:t>
      </w:r>
      <w:r>
        <w:t>ödeyecektir.</w:t>
      </w:r>
      <w:r>
        <w:rPr>
          <w:spacing w:val="30"/>
        </w:rPr>
        <w:t xml:space="preserve"> </w:t>
      </w:r>
      <w:r>
        <w:t>Ek</w:t>
      </w:r>
      <w:r>
        <w:rPr>
          <w:spacing w:val="-9"/>
        </w:rPr>
        <w:t xml:space="preserve"> </w:t>
      </w:r>
      <w:r>
        <w:t>süre</w:t>
      </w:r>
      <w:r>
        <w:rPr>
          <w:spacing w:val="-10"/>
        </w:rPr>
        <w:t xml:space="preserve"> </w:t>
      </w:r>
      <w:r>
        <w:t>verilmesine</w:t>
      </w:r>
      <w:r>
        <w:rPr>
          <w:spacing w:val="-11"/>
        </w:rPr>
        <w:t xml:space="preserve"> </w:t>
      </w:r>
      <w:r>
        <w:t>rağmen</w:t>
      </w:r>
      <w:r>
        <w:rPr>
          <w:spacing w:val="-6"/>
        </w:rPr>
        <w:t xml:space="preserve"> </w:t>
      </w:r>
      <w:r>
        <w:t>YÜKLENİCİ</w:t>
      </w:r>
      <w:r>
        <w:rPr>
          <w:spacing w:val="-13"/>
        </w:rPr>
        <w:t xml:space="preserve"> </w:t>
      </w:r>
      <w:r>
        <w:t>görevini</w:t>
      </w:r>
      <w:r>
        <w:rPr>
          <w:spacing w:val="-7"/>
        </w:rPr>
        <w:t xml:space="preserve"> </w:t>
      </w:r>
      <w:r>
        <w:t>yerine</w:t>
      </w:r>
      <w:r>
        <w:rPr>
          <w:spacing w:val="-15"/>
        </w:rPr>
        <w:t xml:space="preserve"> </w:t>
      </w:r>
      <w:r>
        <w:t>getirmez ise</w:t>
      </w:r>
      <w:r>
        <w:rPr>
          <w:spacing w:val="-10"/>
        </w:rPr>
        <w:t xml:space="preserve"> </w:t>
      </w:r>
      <w:r>
        <w:t>başka</w:t>
      </w:r>
      <w:r>
        <w:rPr>
          <w:spacing w:val="-4"/>
        </w:rPr>
        <w:t xml:space="preserve"> </w:t>
      </w:r>
      <w:r>
        <w:t>bir</w:t>
      </w:r>
      <w:r>
        <w:rPr>
          <w:spacing w:val="-7"/>
        </w:rPr>
        <w:t xml:space="preserve"> </w:t>
      </w:r>
      <w:r>
        <w:t>ihtar</w:t>
      </w:r>
      <w:r>
        <w:rPr>
          <w:spacing w:val="-8"/>
        </w:rPr>
        <w:t xml:space="preserve"> </w:t>
      </w:r>
      <w:r>
        <w:t>yapmaya</w:t>
      </w:r>
      <w:r>
        <w:rPr>
          <w:spacing w:val="-4"/>
        </w:rPr>
        <w:t xml:space="preserve"> </w:t>
      </w:r>
      <w:r>
        <w:t>veya</w:t>
      </w:r>
      <w:r>
        <w:rPr>
          <w:spacing w:val="-4"/>
        </w:rPr>
        <w:t xml:space="preserve"> </w:t>
      </w:r>
      <w:r>
        <w:t>protesto</w:t>
      </w:r>
      <w:r>
        <w:rPr>
          <w:spacing w:val="-9"/>
        </w:rPr>
        <w:t xml:space="preserve"> </w:t>
      </w:r>
      <w:r>
        <w:t>çekmeye gerek</w:t>
      </w:r>
      <w:r>
        <w:rPr>
          <w:spacing w:val="-7"/>
        </w:rPr>
        <w:t xml:space="preserve"> </w:t>
      </w:r>
      <w:r>
        <w:t>kalmaksızın</w:t>
      </w:r>
      <w:r>
        <w:rPr>
          <w:spacing w:val="-4"/>
        </w:rPr>
        <w:t xml:space="preserve"> </w:t>
      </w:r>
      <w:r>
        <w:t>Sözleşme</w:t>
      </w:r>
      <w:r>
        <w:rPr>
          <w:spacing w:val="-10"/>
        </w:rPr>
        <w:t xml:space="preserve"> </w:t>
      </w:r>
      <w:r>
        <w:t>feshedilerek hesabı genel hükümlere göre tasfiye</w:t>
      </w:r>
      <w:r>
        <w:rPr>
          <w:spacing w:val="-8"/>
        </w:rPr>
        <w:t xml:space="preserve"> </w:t>
      </w:r>
      <w:r w:rsidR="00D15282">
        <w:t>edilir.</w:t>
      </w:r>
    </w:p>
    <w:p w:rsidR="00C1625F" w:rsidRDefault="00C1625F" w:rsidP="00D617F9">
      <w:pPr>
        <w:pStyle w:val="GvdeMetni"/>
        <w:spacing w:before="117"/>
        <w:ind w:left="0" w:right="106" w:firstLine="0"/>
      </w:pPr>
    </w:p>
    <w:sectPr w:rsidR="00C1625F">
      <w:pgSz w:w="11900" w:h="16840"/>
      <w:pgMar w:top="1340" w:right="1300" w:bottom="1180" w:left="1300" w:header="0" w:footer="98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6EB" w:rsidRDefault="005956EB">
      <w:r>
        <w:separator/>
      </w:r>
    </w:p>
  </w:endnote>
  <w:endnote w:type="continuationSeparator" w:id="0">
    <w:p w:rsidR="005956EB" w:rsidRDefault="00595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A2"/>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4579608"/>
      <w:docPartObj>
        <w:docPartGallery w:val="Page Numbers (Bottom of Page)"/>
        <w:docPartUnique/>
      </w:docPartObj>
    </w:sdtPr>
    <w:sdtContent>
      <w:p w:rsidR="00D15282" w:rsidRDefault="00D15282">
        <w:pPr>
          <w:pStyle w:val="AltBilgi"/>
          <w:jc w:val="center"/>
        </w:pPr>
        <w:r>
          <w:fldChar w:fldCharType="begin"/>
        </w:r>
        <w:r>
          <w:instrText>PAGE   \* MERGEFORMAT</w:instrText>
        </w:r>
        <w:r>
          <w:fldChar w:fldCharType="separate"/>
        </w:r>
        <w:r w:rsidR="00D67E46" w:rsidRPr="00D67E46">
          <w:rPr>
            <w:noProof/>
            <w:lang w:val="tr-TR"/>
          </w:rPr>
          <w:t>1</w:t>
        </w:r>
        <w:r>
          <w:fldChar w:fldCharType="end"/>
        </w:r>
      </w:p>
    </w:sdtContent>
  </w:sdt>
  <w:p w:rsidR="00C1625F" w:rsidRDefault="00C1625F">
    <w:pPr>
      <w:pStyle w:val="GvdeMetni"/>
      <w:spacing w:before="0" w:line="14" w:lineRule="auto"/>
      <w:ind w:left="0" w:firstLine="0"/>
      <w:jc w:val="left"/>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6EB" w:rsidRDefault="005956EB">
      <w:r>
        <w:separator/>
      </w:r>
    </w:p>
  </w:footnote>
  <w:footnote w:type="continuationSeparator" w:id="0">
    <w:p w:rsidR="005956EB" w:rsidRDefault="005956E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A4978"/>
    <w:multiLevelType w:val="multilevel"/>
    <w:tmpl w:val="A9B87274"/>
    <w:lvl w:ilvl="0">
      <w:start w:val="1"/>
      <w:numFmt w:val="decimal"/>
      <w:lvlText w:val="%1."/>
      <w:lvlJc w:val="left"/>
      <w:pPr>
        <w:ind w:left="543" w:hanging="428"/>
      </w:pPr>
      <w:rPr>
        <w:rFonts w:ascii="Cambria" w:eastAsia="Cambria" w:hAnsi="Cambria" w:cs="Cambria" w:hint="default"/>
        <w:b/>
        <w:bCs/>
        <w:spacing w:val="-2"/>
        <w:w w:val="100"/>
        <w:sz w:val="22"/>
        <w:szCs w:val="22"/>
      </w:rPr>
    </w:lvl>
    <w:lvl w:ilvl="1">
      <w:start w:val="1"/>
      <w:numFmt w:val="decimal"/>
      <w:lvlText w:val="%1.%2."/>
      <w:lvlJc w:val="left"/>
      <w:pPr>
        <w:ind w:left="1263" w:hanging="720"/>
      </w:pPr>
      <w:rPr>
        <w:rFonts w:ascii="Cambria" w:eastAsia="Cambria" w:hAnsi="Cambria" w:cs="Cambria" w:hint="default"/>
        <w:b/>
        <w:bCs/>
        <w:spacing w:val="-2"/>
        <w:w w:val="100"/>
        <w:sz w:val="22"/>
        <w:szCs w:val="22"/>
      </w:rPr>
    </w:lvl>
    <w:lvl w:ilvl="2">
      <w:numFmt w:val="bullet"/>
      <w:lvlText w:val="•"/>
      <w:lvlJc w:val="left"/>
      <w:pPr>
        <w:ind w:left="2153" w:hanging="720"/>
      </w:pPr>
      <w:rPr>
        <w:rFonts w:hint="default"/>
      </w:rPr>
    </w:lvl>
    <w:lvl w:ilvl="3">
      <w:numFmt w:val="bullet"/>
      <w:lvlText w:val="•"/>
      <w:lvlJc w:val="left"/>
      <w:pPr>
        <w:ind w:left="3046" w:hanging="720"/>
      </w:pPr>
      <w:rPr>
        <w:rFonts w:hint="default"/>
      </w:rPr>
    </w:lvl>
    <w:lvl w:ilvl="4">
      <w:numFmt w:val="bullet"/>
      <w:lvlText w:val="•"/>
      <w:lvlJc w:val="left"/>
      <w:pPr>
        <w:ind w:left="3940" w:hanging="720"/>
      </w:pPr>
      <w:rPr>
        <w:rFonts w:hint="default"/>
      </w:rPr>
    </w:lvl>
    <w:lvl w:ilvl="5">
      <w:numFmt w:val="bullet"/>
      <w:lvlText w:val="•"/>
      <w:lvlJc w:val="left"/>
      <w:pPr>
        <w:ind w:left="4833" w:hanging="720"/>
      </w:pPr>
      <w:rPr>
        <w:rFonts w:hint="default"/>
      </w:rPr>
    </w:lvl>
    <w:lvl w:ilvl="6">
      <w:numFmt w:val="bullet"/>
      <w:lvlText w:val="•"/>
      <w:lvlJc w:val="left"/>
      <w:pPr>
        <w:ind w:left="5726" w:hanging="720"/>
      </w:pPr>
      <w:rPr>
        <w:rFonts w:hint="default"/>
      </w:rPr>
    </w:lvl>
    <w:lvl w:ilvl="7">
      <w:numFmt w:val="bullet"/>
      <w:lvlText w:val="•"/>
      <w:lvlJc w:val="left"/>
      <w:pPr>
        <w:ind w:left="6620" w:hanging="720"/>
      </w:pPr>
      <w:rPr>
        <w:rFonts w:hint="default"/>
      </w:rPr>
    </w:lvl>
    <w:lvl w:ilvl="8">
      <w:numFmt w:val="bullet"/>
      <w:lvlText w:val="•"/>
      <w:lvlJc w:val="left"/>
      <w:pPr>
        <w:ind w:left="7513" w:hanging="720"/>
      </w:pPr>
      <w:rPr>
        <w:rFonts w:hint="default"/>
      </w:rPr>
    </w:lvl>
  </w:abstractNum>
  <w:abstractNum w:abstractNumId="1" w15:restartNumberingAfterBreak="0">
    <w:nsid w:val="20D674CC"/>
    <w:multiLevelType w:val="hybridMultilevel"/>
    <w:tmpl w:val="5636C5A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25F"/>
    <w:rsid w:val="00006282"/>
    <w:rsid w:val="000A0BA6"/>
    <w:rsid w:val="00105826"/>
    <w:rsid w:val="00106415"/>
    <w:rsid w:val="0011789C"/>
    <w:rsid w:val="001277FB"/>
    <w:rsid w:val="0014140D"/>
    <w:rsid w:val="00151771"/>
    <w:rsid w:val="001539B7"/>
    <w:rsid w:val="00180AE8"/>
    <w:rsid w:val="002170F9"/>
    <w:rsid w:val="00256C40"/>
    <w:rsid w:val="002C0812"/>
    <w:rsid w:val="002C1D82"/>
    <w:rsid w:val="002C4E0E"/>
    <w:rsid w:val="002E0611"/>
    <w:rsid w:val="002F2A03"/>
    <w:rsid w:val="00316666"/>
    <w:rsid w:val="00341285"/>
    <w:rsid w:val="00343451"/>
    <w:rsid w:val="003B2AE1"/>
    <w:rsid w:val="003C3405"/>
    <w:rsid w:val="003E2FBC"/>
    <w:rsid w:val="004711B5"/>
    <w:rsid w:val="00473DC0"/>
    <w:rsid w:val="004B61E4"/>
    <w:rsid w:val="004B7158"/>
    <w:rsid w:val="004B7DEB"/>
    <w:rsid w:val="00534285"/>
    <w:rsid w:val="005431DC"/>
    <w:rsid w:val="005956EB"/>
    <w:rsid w:val="005A432C"/>
    <w:rsid w:val="005D4208"/>
    <w:rsid w:val="00607954"/>
    <w:rsid w:val="00722170"/>
    <w:rsid w:val="00731318"/>
    <w:rsid w:val="00781103"/>
    <w:rsid w:val="007E22A5"/>
    <w:rsid w:val="007E230F"/>
    <w:rsid w:val="007F538A"/>
    <w:rsid w:val="0087416A"/>
    <w:rsid w:val="00891BA4"/>
    <w:rsid w:val="008A18D1"/>
    <w:rsid w:val="008A4065"/>
    <w:rsid w:val="008C0F4B"/>
    <w:rsid w:val="008E0BB1"/>
    <w:rsid w:val="008E7176"/>
    <w:rsid w:val="008F10A7"/>
    <w:rsid w:val="009336C3"/>
    <w:rsid w:val="009470CF"/>
    <w:rsid w:val="009766CB"/>
    <w:rsid w:val="009C78A2"/>
    <w:rsid w:val="009D5A3C"/>
    <w:rsid w:val="00A044F1"/>
    <w:rsid w:val="00A1283F"/>
    <w:rsid w:val="00A16689"/>
    <w:rsid w:val="00A336FB"/>
    <w:rsid w:val="00A700A2"/>
    <w:rsid w:val="00A852AF"/>
    <w:rsid w:val="00A9445A"/>
    <w:rsid w:val="00AC5B31"/>
    <w:rsid w:val="00B237E8"/>
    <w:rsid w:val="00B270DE"/>
    <w:rsid w:val="00B565D8"/>
    <w:rsid w:val="00BA0345"/>
    <w:rsid w:val="00BA6F9F"/>
    <w:rsid w:val="00BC254D"/>
    <w:rsid w:val="00BD5B18"/>
    <w:rsid w:val="00C1625F"/>
    <w:rsid w:val="00C35765"/>
    <w:rsid w:val="00CF0077"/>
    <w:rsid w:val="00D15282"/>
    <w:rsid w:val="00D45518"/>
    <w:rsid w:val="00D617F9"/>
    <w:rsid w:val="00D67E46"/>
    <w:rsid w:val="00DC0D03"/>
    <w:rsid w:val="00DC4C57"/>
    <w:rsid w:val="00E00F83"/>
    <w:rsid w:val="00E33B43"/>
    <w:rsid w:val="00E82207"/>
    <w:rsid w:val="00E9768D"/>
    <w:rsid w:val="00EB1549"/>
    <w:rsid w:val="00EB22CC"/>
    <w:rsid w:val="00EB2FE7"/>
    <w:rsid w:val="00EB4A25"/>
    <w:rsid w:val="00EF7C0A"/>
    <w:rsid w:val="00F45089"/>
    <w:rsid w:val="00F455BF"/>
    <w:rsid w:val="00F95A41"/>
    <w:rsid w:val="00F975EF"/>
    <w:rsid w:val="00FB6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E9EEE5"/>
  <w15:docId w15:val="{22261FEC-8948-424D-B4F6-ED4DA16E1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mbria" w:eastAsia="Cambria" w:hAnsi="Cambria" w:cs="Cambria"/>
    </w:rPr>
  </w:style>
  <w:style w:type="paragraph" w:styleId="Balk1">
    <w:name w:val="heading 1"/>
    <w:basedOn w:val="Normal"/>
    <w:uiPriority w:val="1"/>
    <w:qFormat/>
    <w:pPr>
      <w:spacing w:before="192"/>
      <w:ind w:left="543" w:hanging="429"/>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uiPriority w:val="1"/>
    <w:qFormat/>
    <w:pPr>
      <w:spacing w:before="119"/>
      <w:ind w:left="1263" w:hanging="720"/>
      <w:jc w:val="both"/>
    </w:pPr>
  </w:style>
  <w:style w:type="paragraph" w:styleId="ListeParagraf">
    <w:name w:val="List Paragraph"/>
    <w:basedOn w:val="Normal"/>
    <w:uiPriority w:val="34"/>
    <w:qFormat/>
    <w:pPr>
      <w:spacing w:before="119"/>
      <w:ind w:left="1263" w:hanging="720"/>
      <w:jc w:val="both"/>
    </w:pPr>
  </w:style>
  <w:style w:type="paragraph" w:customStyle="1" w:styleId="TableParagraph">
    <w:name w:val="Table Paragraph"/>
    <w:basedOn w:val="Normal"/>
    <w:uiPriority w:val="1"/>
    <w:qFormat/>
    <w:pPr>
      <w:spacing w:before="35"/>
      <w:jc w:val="right"/>
    </w:pPr>
  </w:style>
  <w:style w:type="paragraph" w:styleId="BalonMetni">
    <w:name w:val="Balloon Text"/>
    <w:basedOn w:val="Normal"/>
    <w:link w:val="BalonMetniChar"/>
    <w:uiPriority w:val="99"/>
    <w:semiHidden/>
    <w:unhideWhenUsed/>
    <w:rsid w:val="00473DC0"/>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73DC0"/>
    <w:rPr>
      <w:rFonts w:ascii="Segoe UI" w:eastAsia="Cambria" w:hAnsi="Segoe UI" w:cs="Segoe UI"/>
      <w:sz w:val="18"/>
      <w:szCs w:val="18"/>
    </w:rPr>
  </w:style>
  <w:style w:type="paragraph" w:styleId="stBilgi">
    <w:name w:val="header"/>
    <w:basedOn w:val="Normal"/>
    <w:link w:val="stBilgiChar"/>
    <w:uiPriority w:val="99"/>
    <w:unhideWhenUsed/>
    <w:rsid w:val="00D15282"/>
    <w:pPr>
      <w:tabs>
        <w:tab w:val="center" w:pos="4536"/>
        <w:tab w:val="right" w:pos="9072"/>
      </w:tabs>
    </w:pPr>
  </w:style>
  <w:style w:type="character" w:customStyle="1" w:styleId="stBilgiChar">
    <w:name w:val="Üst Bilgi Char"/>
    <w:basedOn w:val="VarsaylanParagrafYazTipi"/>
    <w:link w:val="stBilgi"/>
    <w:uiPriority w:val="99"/>
    <w:rsid w:val="00D15282"/>
    <w:rPr>
      <w:rFonts w:ascii="Cambria" w:eastAsia="Cambria" w:hAnsi="Cambria" w:cs="Cambria"/>
    </w:rPr>
  </w:style>
  <w:style w:type="paragraph" w:styleId="AltBilgi">
    <w:name w:val="footer"/>
    <w:basedOn w:val="Normal"/>
    <w:link w:val="AltBilgiChar"/>
    <w:uiPriority w:val="99"/>
    <w:unhideWhenUsed/>
    <w:rsid w:val="00D15282"/>
    <w:pPr>
      <w:tabs>
        <w:tab w:val="center" w:pos="4536"/>
        <w:tab w:val="right" w:pos="9072"/>
      </w:tabs>
    </w:pPr>
  </w:style>
  <w:style w:type="character" w:customStyle="1" w:styleId="AltBilgiChar">
    <w:name w:val="Alt Bilgi Char"/>
    <w:basedOn w:val="VarsaylanParagrafYazTipi"/>
    <w:link w:val="AltBilgi"/>
    <w:uiPriority w:val="99"/>
    <w:rsid w:val="00D15282"/>
    <w:rPr>
      <w:rFonts w:ascii="Cambria" w:eastAsia="Cambria" w:hAnsi="Cambria" w:cs="Cambria"/>
    </w:rPr>
  </w:style>
  <w:style w:type="character" w:styleId="SatrNumaras">
    <w:name w:val="line number"/>
    <w:basedOn w:val="VarsaylanParagrafYazTipi"/>
    <w:uiPriority w:val="99"/>
    <w:semiHidden/>
    <w:unhideWhenUsed/>
    <w:rsid w:val="00D152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2670">
      <w:bodyDiv w:val="1"/>
      <w:marLeft w:val="0"/>
      <w:marRight w:val="0"/>
      <w:marTop w:val="0"/>
      <w:marBottom w:val="0"/>
      <w:divBdr>
        <w:top w:val="none" w:sz="0" w:space="0" w:color="auto"/>
        <w:left w:val="none" w:sz="0" w:space="0" w:color="auto"/>
        <w:bottom w:val="none" w:sz="0" w:space="0" w:color="auto"/>
        <w:right w:val="none" w:sz="0" w:space="0" w:color="auto"/>
      </w:divBdr>
    </w:div>
    <w:div w:id="125321099">
      <w:bodyDiv w:val="1"/>
      <w:marLeft w:val="0"/>
      <w:marRight w:val="0"/>
      <w:marTop w:val="0"/>
      <w:marBottom w:val="0"/>
      <w:divBdr>
        <w:top w:val="none" w:sz="0" w:space="0" w:color="auto"/>
        <w:left w:val="none" w:sz="0" w:space="0" w:color="auto"/>
        <w:bottom w:val="none" w:sz="0" w:space="0" w:color="auto"/>
        <w:right w:val="none" w:sz="0" w:space="0" w:color="auto"/>
      </w:divBdr>
    </w:div>
    <w:div w:id="191693839">
      <w:bodyDiv w:val="1"/>
      <w:marLeft w:val="0"/>
      <w:marRight w:val="0"/>
      <w:marTop w:val="0"/>
      <w:marBottom w:val="0"/>
      <w:divBdr>
        <w:top w:val="none" w:sz="0" w:space="0" w:color="auto"/>
        <w:left w:val="none" w:sz="0" w:space="0" w:color="auto"/>
        <w:bottom w:val="none" w:sz="0" w:space="0" w:color="auto"/>
        <w:right w:val="none" w:sz="0" w:space="0" w:color="auto"/>
      </w:divBdr>
    </w:div>
    <w:div w:id="247084248">
      <w:bodyDiv w:val="1"/>
      <w:marLeft w:val="0"/>
      <w:marRight w:val="0"/>
      <w:marTop w:val="0"/>
      <w:marBottom w:val="0"/>
      <w:divBdr>
        <w:top w:val="none" w:sz="0" w:space="0" w:color="auto"/>
        <w:left w:val="none" w:sz="0" w:space="0" w:color="auto"/>
        <w:bottom w:val="none" w:sz="0" w:space="0" w:color="auto"/>
        <w:right w:val="none" w:sz="0" w:space="0" w:color="auto"/>
      </w:divBdr>
    </w:div>
    <w:div w:id="322517009">
      <w:bodyDiv w:val="1"/>
      <w:marLeft w:val="0"/>
      <w:marRight w:val="0"/>
      <w:marTop w:val="0"/>
      <w:marBottom w:val="0"/>
      <w:divBdr>
        <w:top w:val="none" w:sz="0" w:space="0" w:color="auto"/>
        <w:left w:val="none" w:sz="0" w:space="0" w:color="auto"/>
        <w:bottom w:val="none" w:sz="0" w:space="0" w:color="auto"/>
        <w:right w:val="none" w:sz="0" w:space="0" w:color="auto"/>
      </w:divBdr>
    </w:div>
    <w:div w:id="336661154">
      <w:bodyDiv w:val="1"/>
      <w:marLeft w:val="0"/>
      <w:marRight w:val="0"/>
      <w:marTop w:val="0"/>
      <w:marBottom w:val="0"/>
      <w:divBdr>
        <w:top w:val="none" w:sz="0" w:space="0" w:color="auto"/>
        <w:left w:val="none" w:sz="0" w:space="0" w:color="auto"/>
        <w:bottom w:val="none" w:sz="0" w:space="0" w:color="auto"/>
        <w:right w:val="none" w:sz="0" w:space="0" w:color="auto"/>
      </w:divBdr>
    </w:div>
    <w:div w:id="368923341">
      <w:bodyDiv w:val="1"/>
      <w:marLeft w:val="0"/>
      <w:marRight w:val="0"/>
      <w:marTop w:val="0"/>
      <w:marBottom w:val="0"/>
      <w:divBdr>
        <w:top w:val="none" w:sz="0" w:space="0" w:color="auto"/>
        <w:left w:val="none" w:sz="0" w:space="0" w:color="auto"/>
        <w:bottom w:val="none" w:sz="0" w:space="0" w:color="auto"/>
        <w:right w:val="none" w:sz="0" w:space="0" w:color="auto"/>
      </w:divBdr>
    </w:div>
    <w:div w:id="423917892">
      <w:bodyDiv w:val="1"/>
      <w:marLeft w:val="0"/>
      <w:marRight w:val="0"/>
      <w:marTop w:val="0"/>
      <w:marBottom w:val="0"/>
      <w:divBdr>
        <w:top w:val="none" w:sz="0" w:space="0" w:color="auto"/>
        <w:left w:val="none" w:sz="0" w:space="0" w:color="auto"/>
        <w:bottom w:val="none" w:sz="0" w:space="0" w:color="auto"/>
        <w:right w:val="none" w:sz="0" w:space="0" w:color="auto"/>
      </w:divBdr>
    </w:div>
    <w:div w:id="465046506">
      <w:bodyDiv w:val="1"/>
      <w:marLeft w:val="0"/>
      <w:marRight w:val="0"/>
      <w:marTop w:val="0"/>
      <w:marBottom w:val="0"/>
      <w:divBdr>
        <w:top w:val="none" w:sz="0" w:space="0" w:color="auto"/>
        <w:left w:val="none" w:sz="0" w:space="0" w:color="auto"/>
        <w:bottom w:val="none" w:sz="0" w:space="0" w:color="auto"/>
        <w:right w:val="none" w:sz="0" w:space="0" w:color="auto"/>
      </w:divBdr>
    </w:div>
    <w:div w:id="539587074">
      <w:bodyDiv w:val="1"/>
      <w:marLeft w:val="0"/>
      <w:marRight w:val="0"/>
      <w:marTop w:val="0"/>
      <w:marBottom w:val="0"/>
      <w:divBdr>
        <w:top w:val="none" w:sz="0" w:space="0" w:color="auto"/>
        <w:left w:val="none" w:sz="0" w:space="0" w:color="auto"/>
        <w:bottom w:val="none" w:sz="0" w:space="0" w:color="auto"/>
        <w:right w:val="none" w:sz="0" w:space="0" w:color="auto"/>
      </w:divBdr>
    </w:div>
    <w:div w:id="566109015">
      <w:bodyDiv w:val="1"/>
      <w:marLeft w:val="0"/>
      <w:marRight w:val="0"/>
      <w:marTop w:val="0"/>
      <w:marBottom w:val="0"/>
      <w:divBdr>
        <w:top w:val="none" w:sz="0" w:space="0" w:color="auto"/>
        <w:left w:val="none" w:sz="0" w:space="0" w:color="auto"/>
        <w:bottom w:val="none" w:sz="0" w:space="0" w:color="auto"/>
        <w:right w:val="none" w:sz="0" w:space="0" w:color="auto"/>
      </w:divBdr>
    </w:div>
    <w:div w:id="635449984">
      <w:bodyDiv w:val="1"/>
      <w:marLeft w:val="0"/>
      <w:marRight w:val="0"/>
      <w:marTop w:val="0"/>
      <w:marBottom w:val="0"/>
      <w:divBdr>
        <w:top w:val="none" w:sz="0" w:space="0" w:color="auto"/>
        <w:left w:val="none" w:sz="0" w:space="0" w:color="auto"/>
        <w:bottom w:val="none" w:sz="0" w:space="0" w:color="auto"/>
        <w:right w:val="none" w:sz="0" w:space="0" w:color="auto"/>
      </w:divBdr>
    </w:div>
    <w:div w:id="833684731">
      <w:bodyDiv w:val="1"/>
      <w:marLeft w:val="0"/>
      <w:marRight w:val="0"/>
      <w:marTop w:val="0"/>
      <w:marBottom w:val="0"/>
      <w:divBdr>
        <w:top w:val="none" w:sz="0" w:space="0" w:color="auto"/>
        <w:left w:val="none" w:sz="0" w:space="0" w:color="auto"/>
        <w:bottom w:val="none" w:sz="0" w:space="0" w:color="auto"/>
        <w:right w:val="none" w:sz="0" w:space="0" w:color="auto"/>
      </w:divBdr>
    </w:div>
    <w:div w:id="870266853">
      <w:bodyDiv w:val="1"/>
      <w:marLeft w:val="0"/>
      <w:marRight w:val="0"/>
      <w:marTop w:val="0"/>
      <w:marBottom w:val="0"/>
      <w:divBdr>
        <w:top w:val="none" w:sz="0" w:space="0" w:color="auto"/>
        <w:left w:val="none" w:sz="0" w:space="0" w:color="auto"/>
        <w:bottom w:val="none" w:sz="0" w:space="0" w:color="auto"/>
        <w:right w:val="none" w:sz="0" w:space="0" w:color="auto"/>
      </w:divBdr>
    </w:div>
    <w:div w:id="910385802">
      <w:bodyDiv w:val="1"/>
      <w:marLeft w:val="0"/>
      <w:marRight w:val="0"/>
      <w:marTop w:val="0"/>
      <w:marBottom w:val="0"/>
      <w:divBdr>
        <w:top w:val="none" w:sz="0" w:space="0" w:color="auto"/>
        <w:left w:val="none" w:sz="0" w:space="0" w:color="auto"/>
        <w:bottom w:val="none" w:sz="0" w:space="0" w:color="auto"/>
        <w:right w:val="none" w:sz="0" w:space="0" w:color="auto"/>
      </w:divBdr>
    </w:div>
    <w:div w:id="922422251">
      <w:bodyDiv w:val="1"/>
      <w:marLeft w:val="0"/>
      <w:marRight w:val="0"/>
      <w:marTop w:val="0"/>
      <w:marBottom w:val="0"/>
      <w:divBdr>
        <w:top w:val="none" w:sz="0" w:space="0" w:color="auto"/>
        <w:left w:val="none" w:sz="0" w:space="0" w:color="auto"/>
        <w:bottom w:val="none" w:sz="0" w:space="0" w:color="auto"/>
        <w:right w:val="none" w:sz="0" w:space="0" w:color="auto"/>
      </w:divBdr>
    </w:div>
    <w:div w:id="950622759">
      <w:bodyDiv w:val="1"/>
      <w:marLeft w:val="0"/>
      <w:marRight w:val="0"/>
      <w:marTop w:val="0"/>
      <w:marBottom w:val="0"/>
      <w:divBdr>
        <w:top w:val="none" w:sz="0" w:space="0" w:color="auto"/>
        <w:left w:val="none" w:sz="0" w:space="0" w:color="auto"/>
        <w:bottom w:val="none" w:sz="0" w:space="0" w:color="auto"/>
        <w:right w:val="none" w:sz="0" w:space="0" w:color="auto"/>
      </w:divBdr>
    </w:div>
    <w:div w:id="959799768">
      <w:bodyDiv w:val="1"/>
      <w:marLeft w:val="0"/>
      <w:marRight w:val="0"/>
      <w:marTop w:val="0"/>
      <w:marBottom w:val="0"/>
      <w:divBdr>
        <w:top w:val="none" w:sz="0" w:space="0" w:color="auto"/>
        <w:left w:val="none" w:sz="0" w:space="0" w:color="auto"/>
        <w:bottom w:val="none" w:sz="0" w:space="0" w:color="auto"/>
        <w:right w:val="none" w:sz="0" w:space="0" w:color="auto"/>
      </w:divBdr>
    </w:div>
    <w:div w:id="989361210">
      <w:bodyDiv w:val="1"/>
      <w:marLeft w:val="0"/>
      <w:marRight w:val="0"/>
      <w:marTop w:val="0"/>
      <w:marBottom w:val="0"/>
      <w:divBdr>
        <w:top w:val="none" w:sz="0" w:space="0" w:color="auto"/>
        <w:left w:val="none" w:sz="0" w:space="0" w:color="auto"/>
        <w:bottom w:val="none" w:sz="0" w:space="0" w:color="auto"/>
        <w:right w:val="none" w:sz="0" w:space="0" w:color="auto"/>
      </w:divBdr>
    </w:div>
    <w:div w:id="1006706805">
      <w:bodyDiv w:val="1"/>
      <w:marLeft w:val="0"/>
      <w:marRight w:val="0"/>
      <w:marTop w:val="0"/>
      <w:marBottom w:val="0"/>
      <w:divBdr>
        <w:top w:val="none" w:sz="0" w:space="0" w:color="auto"/>
        <w:left w:val="none" w:sz="0" w:space="0" w:color="auto"/>
        <w:bottom w:val="none" w:sz="0" w:space="0" w:color="auto"/>
        <w:right w:val="none" w:sz="0" w:space="0" w:color="auto"/>
      </w:divBdr>
    </w:div>
    <w:div w:id="1026755154">
      <w:bodyDiv w:val="1"/>
      <w:marLeft w:val="0"/>
      <w:marRight w:val="0"/>
      <w:marTop w:val="0"/>
      <w:marBottom w:val="0"/>
      <w:divBdr>
        <w:top w:val="none" w:sz="0" w:space="0" w:color="auto"/>
        <w:left w:val="none" w:sz="0" w:space="0" w:color="auto"/>
        <w:bottom w:val="none" w:sz="0" w:space="0" w:color="auto"/>
        <w:right w:val="none" w:sz="0" w:space="0" w:color="auto"/>
      </w:divBdr>
    </w:div>
    <w:div w:id="1042486739">
      <w:bodyDiv w:val="1"/>
      <w:marLeft w:val="0"/>
      <w:marRight w:val="0"/>
      <w:marTop w:val="0"/>
      <w:marBottom w:val="0"/>
      <w:divBdr>
        <w:top w:val="none" w:sz="0" w:space="0" w:color="auto"/>
        <w:left w:val="none" w:sz="0" w:space="0" w:color="auto"/>
        <w:bottom w:val="none" w:sz="0" w:space="0" w:color="auto"/>
        <w:right w:val="none" w:sz="0" w:space="0" w:color="auto"/>
      </w:divBdr>
    </w:div>
    <w:div w:id="1133057799">
      <w:bodyDiv w:val="1"/>
      <w:marLeft w:val="0"/>
      <w:marRight w:val="0"/>
      <w:marTop w:val="0"/>
      <w:marBottom w:val="0"/>
      <w:divBdr>
        <w:top w:val="none" w:sz="0" w:space="0" w:color="auto"/>
        <w:left w:val="none" w:sz="0" w:space="0" w:color="auto"/>
        <w:bottom w:val="none" w:sz="0" w:space="0" w:color="auto"/>
        <w:right w:val="none" w:sz="0" w:space="0" w:color="auto"/>
      </w:divBdr>
    </w:div>
    <w:div w:id="1191069536">
      <w:bodyDiv w:val="1"/>
      <w:marLeft w:val="0"/>
      <w:marRight w:val="0"/>
      <w:marTop w:val="0"/>
      <w:marBottom w:val="0"/>
      <w:divBdr>
        <w:top w:val="none" w:sz="0" w:space="0" w:color="auto"/>
        <w:left w:val="none" w:sz="0" w:space="0" w:color="auto"/>
        <w:bottom w:val="none" w:sz="0" w:space="0" w:color="auto"/>
        <w:right w:val="none" w:sz="0" w:space="0" w:color="auto"/>
      </w:divBdr>
    </w:div>
    <w:div w:id="1274557548">
      <w:bodyDiv w:val="1"/>
      <w:marLeft w:val="0"/>
      <w:marRight w:val="0"/>
      <w:marTop w:val="0"/>
      <w:marBottom w:val="0"/>
      <w:divBdr>
        <w:top w:val="none" w:sz="0" w:space="0" w:color="auto"/>
        <w:left w:val="none" w:sz="0" w:space="0" w:color="auto"/>
        <w:bottom w:val="none" w:sz="0" w:space="0" w:color="auto"/>
        <w:right w:val="none" w:sz="0" w:space="0" w:color="auto"/>
      </w:divBdr>
    </w:div>
    <w:div w:id="1323969485">
      <w:bodyDiv w:val="1"/>
      <w:marLeft w:val="0"/>
      <w:marRight w:val="0"/>
      <w:marTop w:val="0"/>
      <w:marBottom w:val="0"/>
      <w:divBdr>
        <w:top w:val="none" w:sz="0" w:space="0" w:color="auto"/>
        <w:left w:val="none" w:sz="0" w:space="0" w:color="auto"/>
        <w:bottom w:val="none" w:sz="0" w:space="0" w:color="auto"/>
        <w:right w:val="none" w:sz="0" w:space="0" w:color="auto"/>
      </w:divBdr>
    </w:div>
    <w:div w:id="1377781991">
      <w:bodyDiv w:val="1"/>
      <w:marLeft w:val="0"/>
      <w:marRight w:val="0"/>
      <w:marTop w:val="0"/>
      <w:marBottom w:val="0"/>
      <w:divBdr>
        <w:top w:val="none" w:sz="0" w:space="0" w:color="auto"/>
        <w:left w:val="none" w:sz="0" w:space="0" w:color="auto"/>
        <w:bottom w:val="none" w:sz="0" w:space="0" w:color="auto"/>
        <w:right w:val="none" w:sz="0" w:space="0" w:color="auto"/>
      </w:divBdr>
    </w:div>
    <w:div w:id="1409762506">
      <w:bodyDiv w:val="1"/>
      <w:marLeft w:val="0"/>
      <w:marRight w:val="0"/>
      <w:marTop w:val="0"/>
      <w:marBottom w:val="0"/>
      <w:divBdr>
        <w:top w:val="none" w:sz="0" w:space="0" w:color="auto"/>
        <w:left w:val="none" w:sz="0" w:space="0" w:color="auto"/>
        <w:bottom w:val="none" w:sz="0" w:space="0" w:color="auto"/>
        <w:right w:val="none" w:sz="0" w:space="0" w:color="auto"/>
      </w:divBdr>
    </w:div>
    <w:div w:id="1418600200">
      <w:bodyDiv w:val="1"/>
      <w:marLeft w:val="0"/>
      <w:marRight w:val="0"/>
      <w:marTop w:val="0"/>
      <w:marBottom w:val="0"/>
      <w:divBdr>
        <w:top w:val="none" w:sz="0" w:space="0" w:color="auto"/>
        <w:left w:val="none" w:sz="0" w:space="0" w:color="auto"/>
        <w:bottom w:val="none" w:sz="0" w:space="0" w:color="auto"/>
        <w:right w:val="none" w:sz="0" w:space="0" w:color="auto"/>
      </w:divBdr>
    </w:div>
    <w:div w:id="1459257086">
      <w:bodyDiv w:val="1"/>
      <w:marLeft w:val="0"/>
      <w:marRight w:val="0"/>
      <w:marTop w:val="0"/>
      <w:marBottom w:val="0"/>
      <w:divBdr>
        <w:top w:val="none" w:sz="0" w:space="0" w:color="auto"/>
        <w:left w:val="none" w:sz="0" w:space="0" w:color="auto"/>
        <w:bottom w:val="none" w:sz="0" w:space="0" w:color="auto"/>
        <w:right w:val="none" w:sz="0" w:space="0" w:color="auto"/>
      </w:divBdr>
    </w:div>
    <w:div w:id="1583485129">
      <w:bodyDiv w:val="1"/>
      <w:marLeft w:val="0"/>
      <w:marRight w:val="0"/>
      <w:marTop w:val="0"/>
      <w:marBottom w:val="0"/>
      <w:divBdr>
        <w:top w:val="none" w:sz="0" w:space="0" w:color="auto"/>
        <w:left w:val="none" w:sz="0" w:space="0" w:color="auto"/>
        <w:bottom w:val="none" w:sz="0" w:space="0" w:color="auto"/>
        <w:right w:val="none" w:sz="0" w:space="0" w:color="auto"/>
      </w:divBdr>
    </w:div>
    <w:div w:id="1599825630">
      <w:bodyDiv w:val="1"/>
      <w:marLeft w:val="0"/>
      <w:marRight w:val="0"/>
      <w:marTop w:val="0"/>
      <w:marBottom w:val="0"/>
      <w:divBdr>
        <w:top w:val="none" w:sz="0" w:space="0" w:color="auto"/>
        <w:left w:val="none" w:sz="0" w:space="0" w:color="auto"/>
        <w:bottom w:val="none" w:sz="0" w:space="0" w:color="auto"/>
        <w:right w:val="none" w:sz="0" w:space="0" w:color="auto"/>
      </w:divBdr>
    </w:div>
    <w:div w:id="1661040290">
      <w:bodyDiv w:val="1"/>
      <w:marLeft w:val="0"/>
      <w:marRight w:val="0"/>
      <w:marTop w:val="0"/>
      <w:marBottom w:val="0"/>
      <w:divBdr>
        <w:top w:val="none" w:sz="0" w:space="0" w:color="auto"/>
        <w:left w:val="none" w:sz="0" w:space="0" w:color="auto"/>
        <w:bottom w:val="none" w:sz="0" w:space="0" w:color="auto"/>
        <w:right w:val="none" w:sz="0" w:space="0" w:color="auto"/>
      </w:divBdr>
    </w:div>
    <w:div w:id="1729374859">
      <w:bodyDiv w:val="1"/>
      <w:marLeft w:val="0"/>
      <w:marRight w:val="0"/>
      <w:marTop w:val="0"/>
      <w:marBottom w:val="0"/>
      <w:divBdr>
        <w:top w:val="none" w:sz="0" w:space="0" w:color="auto"/>
        <w:left w:val="none" w:sz="0" w:space="0" w:color="auto"/>
        <w:bottom w:val="none" w:sz="0" w:space="0" w:color="auto"/>
        <w:right w:val="none" w:sz="0" w:space="0" w:color="auto"/>
      </w:divBdr>
    </w:div>
    <w:div w:id="1746293801">
      <w:bodyDiv w:val="1"/>
      <w:marLeft w:val="0"/>
      <w:marRight w:val="0"/>
      <w:marTop w:val="0"/>
      <w:marBottom w:val="0"/>
      <w:divBdr>
        <w:top w:val="none" w:sz="0" w:space="0" w:color="auto"/>
        <w:left w:val="none" w:sz="0" w:space="0" w:color="auto"/>
        <w:bottom w:val="none" w:sz="0" w:space="0" w:color="auto"/>
        <w:right w:val="none" w:sz="0" w:space="0" w:color="auto"/>
      </w:divBdr>
    </w:div>
    <w:div w:id="1860777600">
      <w:bodyDiv w:val="1"/>
      <w:marLeft w:val="0"/>
      <w:marRight w:val="0"/>
      <w:marTop w:val="0"/>
      <w:marBottom w:val="0"/>
      <w:divBdr>
        <w:top w:val="none" w:sz="0" w:space="0" w:color="auto"/>
        <w:left w:val="none" w:sz="0" w:space="0" w:color="auto"/>
        <w:bottom w:val="none" w:sz="0" w:space="0" w:color="auto"/>
        <w:right w:val="none" w:sz="0" w:space="0" w:color="auto"/>
      </w:divBdr>
    </w:div>
    <w:div w:id="2007784632">
      <w:bodyDiv w:val="1"/>
      <w:marLeft w:val="0"/>
      <w:marRight w:val="0"/>
      <w:marTop w:val="0"/>
      <w:marBottom w:val="0"/>
      <w:divBdr>
        <w:top w:val="none" w:sz="0" w:space="0" w:color="auto"/>
        <w:left w:val="none" w:sz="0" w:space="0" w:color="auto"/>
        <w:bottom w:val="none" w:sz="0" w:space="0" w:color="auto"/>
        <w:right w:val="none" w:sz="0" w:space="0" w:color="auto"/>
      </w:divBdr>
    </w:div>
    <w:div w:id="2076275037">
      <w:bodyDiv w:val="1"/>
      <w:marLeft w:val="0"/>
      <w:marRight w:val="0"/>
      <w:marTop w:val="0"/>
      <w:marBottom w:val="0"/>
      <w:divBdr>
        <w:top w:val="none" w:sz="0" w:space="0" w:color="auto"/>
        <w:left w:val="none" w:sz="0" w:space="0" w:color="auto"/>
        <w:bottom w:val="none" w:sz="0" w:space="0" w:color="auto"/>
        <w:right w:val="none" w:sz="0" w:space="0" w:color="auto"/>
      </w:divBdr>
    </w:div>
    <w:div w:id="20981352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4EF34-3526-47F0-B71B-D66CC2F9A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10</Pages>
  <Words>4581</Words>
  <Characters>26116</Characters>
  <Application>Microsoft Office Word</Application>
  <DocSecurity>0</DocSecurity>
  <Lines>217</Lines>
  <Paragraphs>61</Paragraphs>
  <ScaleCrop>false</ScaleCrop>
  <HeadingPairs>
    <vt:vector size="2" baseType="variant">
      <vt:variant>
        <vt:lpstr>Konu Başlığı</vt:lpstr>
      </vt:variant>
      <vt:variant>
        <vt:i4>1</vt:i4>
      </vt:variant>
    </vt:vector>
  </HeadingPairs>
  <TitlesOfParts>
    <vt:vector size="1" baseType="lpstr">
      <vt:lpstr>Microsoft Word - KONYA_LNG_ALIM_IHALESI_TEKNIK_SARTNAME_2020_2021.docx</vt:lpstr>
    </vt:vector>
  </TitlesOfParts>
  <Company/>
  <LinksUpToDate>false</LinksUpToDate>
  <CharactersWithSpaces>30636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KONYA_LNG_ALIM_IHALESI_TEKNIK_SARTNAME_2020_2021.docx</dc:title>
  <dc:creator>Selma Delikan</dc:creator>
  <cp:lastModifiedBy>Erol Kaya</cp:lastModifiedBy>
  <cp:revision>6</cp:revision>
  <cp:lastPrinted>2023-03-22T06:40:00Z</cp:lastPrinted>
  <dcterms:created xsi:type="dcterms:W3CDTF">2026-09-17T09:27:00Z</dcterms:created>
  <dcterms:modified xsi:type="dcterms:W3CDTF">2026-09-23T09:04:00Z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2020-05-28T00:00:00Z</vt:filetime>
  </property>
  <property fmtid="{D5CDD505-2E9C-101B-9397-08002B2CF9AE}" pid="3" name="Creator">
    <vt:lpwstr>Word</vt:lpwstr>
  </property>
  <property fmtid="{D5CDD505-2E9C-101B-9397-08002B2CF9AE}" pid="4" name="LastSaved">
    <vt:filetime>2020-07-13T00:00:00Z</vt:filetime>
  </property>
</Properties>
</file>