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EFD16" w14:textId="79D5D12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0679F5">
        <w:rPr>
          <w:rFonts w:ascii="Cambria" w:eastAsia="Times New Roman" w:hAnsi="Cambria" w:cstheme="minorHAnsi"/>
          <w:b/>
          <w:bCs/>
          <w:lang w:eastAsia="tr-TR"/>
        </w:rPr>
        <w:t>KONYA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1974B849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2020-2021 dönemine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7471205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679F5">
        <w:rPr>
          <w:rFonts w:ascii="Cambria" w:hAnsi="Cambria" w:cstheme="minorHAnsi"/>
          <w:color w:val="000000"/>
          <w:sz w:val="22"/>
          <w:szCs w:val="22"/>
        </w:rPr>
        <w:t>KONYA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652C22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652C22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652C22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652C22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652C22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652C22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Tel :444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>
        <w:t>(216) 665</w:t>
      </w:r>
      <w:r w:rsidR="000679F5">
        <w:rPr>
          <w:spacing w:val="2"/>
        </w:rPr>
        <w:t xml:space="preserve"> </w:t>
      </w:r>
      <w:r w:rsidR="000679F5">
        <w:t>1301</w:t>
      </w:r>
    </w:p>
    <w:p w14:paraId="421B7EF1" w14:textId="67A31900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enerya.konya@hs02.kep.tr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2DCE87FC" w:rsidR="00C10C35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Teslim Noktası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Konya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Gaz Dağıtım A.Ş. Dağıtım Lisans Sınırları İçi (</w:t>
      </w:r>
      <w:r w:rsidR="003C0CAB">
        <w:rPr>
          <w:rFonts w:ascii="Cambria" w:hAnsi="Cambria" w:cstheme="minorHAnsi"/>
          <w:color w:val="000000"/>
          <w:sz w:val="22"/>
          <w:szCs w:val="22"/>
        </w:rPr>
        <w:t>Cihanbeyli</w:t>
      </w:r>
      <w:r w:rsidR="009E770D">
        <w:rPr>
          <w:rFonts w:ascii="Cambria" w:hAnsi="Cambria" w:cstheme="minorHAnsi"/>
          <w:color w:val="000000"/>
          <w:sz w:val="22"/>
          <w:szCs w:val="22"/>
        </w:rPr>
        <w:t xml:space="preserve"> ve </w:t>
      </w:r>
      <w:proofErr w:type="spellStart"/>
      <w:r w:rsidR="009E770D">
        <w:rPr>
          <w:rFonts w:ascii="Cambria" w:hAnsi="Cambria" w:cstheme="minorHAnsi"/>
          <w:color w:val="000000"/>
          <w:sz w:val="22"/>
          <w:szCs w:val="22"/>
        </w:rPr>
        <w:t>Ömeranlı</w:t>
      </w:r>
      <w:proofErr w:type="spellEnd"/>
      <w:r w:rsidR="00147AC6" w:rsidRPr="00B92A23">
        <w:rPr>
          <w:rFonts w:ascii="Cambria" w:hAnsi="Cambria" w:cstheme="minorHAnsi"/>
          <w:color w:val="000000"/>
          <w:sz w:val="22"/>
          <w:szCs w:val="22"/>
        </w:rPr>
        <w:t>)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6743A29D" w:rsidR="00B92A23" w:rsidRDefault="00852E0B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Teslim Noktası Adres</w:t>
      </w:r>
      <w:r w:rsidR="009E770D">
        <w:rPr>
          <w:rFonts w:ascii="Cambria" w:hAnsi="Cambria" w:cstheme="minorHAnsi"/>
          <w:color w:val="000000"/>
          <w:sz w:val="22"/>
          <w:szCs w:val="22"/>
        </w:rPr>
        <w:t>-1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proofErr w:type="spellStart"/>
      <w:r w:rsidR="003C0CAB" w:rsidRPr="003C0CAB">
        <w:rPr>
          <w:rFonts w:ascii="Cambria" w:hAnsi="Cambria" w:cstheme="minorHAnsi"/>
          <w:color w:val="000000"/>
          <w:sz w:val="22"/>
          <w:szCs w:val="22"/>
        </w:rPr>
        <w:t>Atçeken</w:t>
      </w:r>
      <w:proofErr w:type="spellEnd"/>
      <w:r w:rsidR="003C0CAB" w:rsidRPr="003C0CAB">
        <w:rPr>
          <w:rFonts w:ascii="Cambria" w:hAnsi="Cambria" w:cstheme="minorHAnsi"/>
          <w:color w:val="000000"/>
          <w:sz w:val="22"/>
          <w:szCs w:val="22"/>
        </w:rPr>
        <w:t xml:space="preserve"> Mahallesi Cihanbeyli/KONYA</w:t>
      </w:r>
    </w:p>
    <w:p w14:paraId="14D8B1CF" w14:textId="6AF2280D" w:rsidR="009E770D" w:rsidRPr="00C16FFD" w:rsidRDefault="009E770D" w:rsidP="009E770D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Teslim Noktası Adres</w:t>
      </w:r>
      <w:r>
        <w:rPr>
          <w:rFonts w:ascii="Cambria" w:hAnsi="Cambria" w:cstheme="minorHAnsi"/>
          <w:color w:val="000000"/>
          <w:sz w:val="22"/>
          <w:szCs w:val="22"/>
        </w:rPr>
        <w:t>-2</w:t>
      </w:r>
      <w:r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Pr="009E770D">
        <w:rPr>
          <w:rFonts w:ascii="Cambria" w:hAnsi="Cambria" w:cstheme="minorHAnsi"/>
          <w:color w:val="000000"/>
          <w:sz w:val="22"/>
          <w:szCs w:val="22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ab/>
      </w:r>
      <w:proofErr w:type="spellStart"/>
      <w:r w:rsidRPr="00C16FFD">
        <w:rPr>
          <w:rFonts w:ascii="Cambria" w:hAnsi="Cambria" w:cstheme="minorHAnsi"/>
          <w:color w:val="000000"/>
          <w:sz w:val="22"/>
          <w:szCs w:val="22"/>
        </w:rPr>
        <w:t>Tavşançalı</w:t>
      </w:r>
      <w:proofErr w:type="spellEnd"/>
      <w:r w:rsidRPr="00C16FFD">
        <w:rPr>
          <w:rFonts w:ascii="Cambria" w:hAnsi="Cambria" w:cstheme="minorHAnsi"/>
          <w:color w:val="000000"/>
          <w:sz w:val="22"/>
          <w:szCs w:val="22"/>
        </w:rPr>
        <w:t xml:space="preserve">, Mevlana </w:t>
      </w:r>
      <w:proofErr w:type="spellStart"/>
      <w:r w:rsidRPr="00C16FFD">
        <w:rPr>
          <w:rFonts w:ascii="Cambria" w:hAnsi="Cambria" w:cstheme="minorHAnsi"/>
          <w:color w:val="000000"/>
          <w:sz w:val="22"/>
          <w:szCs w:val="22"/>
        </w:rPr>
        <w:t>Cd</w:t>
      </w:r>
      <w:proofErr w:type="spellEnd"/>
      <w:r w:rsidRPr="00C16FFD">
        <w:rPr>
          <w:rFonts w:ascii="Cambria" w:hAnsi="Cambria" w:cstheme="minorHAnsi"/>
          <w:color w:val="000000"/>
          <w:sz w:val="22"/>
          <w:szCs w:val="22"/>
        </w:rPr>
        <w:t>. Kulu/KONYA</w:t>
      </w:r>
    </w:p>
    <w:p w14:paraId="28C25999" w14:textId="0F4945E0" w:rsidR="009E770D" w:rsidRPr="009E770D" w:rsidRDefault="00E343E4" w:rsidP="009E770D">
      <w:pPr>
        <w:pStyle w:val="DzMetin"/>
        <w:ind w:left="3120" w:firstLine="708"/>
      </w:pPr>
      <w:hyperlink r:id="rId7" w:history="1">
        <w:r w:rsidR="009E770D" w:rsidRPr="00C16FFD">
          <w:rPr>
            <w:rFonts w:ascii="Cambria" w:eastAsia="Times New Roman" w:hAnsi="Cambria" w:cstheme="minorHAnsi"/>
            <w:color w:val="000000"/>
            <w:szCs w:val="22"/>
            <w:lang w:eastAsia="tr-TR"/>
          </w:rPr>
          <w:t>https://goo.gl/maps/XQxvxKDQSAm6DjX47</w:t>
        </w:r>
      </w:hyperlink>
    </w:p>
    <w:p w14:paraId="0EBAF85B" w14:textId="4E315FC9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7B7E15">
        <w:rPr>
          <w:rFonts w:ascii="Cambria" w:hAnsi="Cambria" w:cstheme="minorHAnsi"/>
          <w:color w:val="000000" w:themeColor="text1"/>
          <w:sz w:val="22"/>
          <w:szCs w:val="22"/>
        </w:rPr>
        <w:t>2020 Ekim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-20</w:t>
      </w:r>
      <w:r w:rsidR="00A40A56">
        <w:rPr>
          <w:rFonts w:ascii="Cambria" w:hAnsi="Cambria" w:cstheme="minorHAnsi"/>
          <w:color w:val="000000" w:themeColor="text1"/>
          <w:sz w:val="22"/>
          <w:szCs w:val="22"/>
        </w:rPr>
        <w:t>21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 xml:space="preserve"> Haziran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155FDDC1" w14:textId="7481BEB9" w:rsidR="00FB7E18" w:rsidRPr="00B92A23" w:rsidRDefault="00071923" w:rsidP="00652C22">
      <w:pPr>
        <w:snapToGrid w:val="0"/>
        <w:spacing w:after="0" w:line="240" w:lineRule="auto"/>
        <w:ind w:left="3544" w:right="-567" w:hanging="3544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="00652C22">
        <w:rPr>
          <w:rFonts w:ascii="Cambria" w:hAnsi="Cambria" w:cstheme="minorHAnsi"/>
          <w:color w:val="000000"/>
        </w:rPr>
        <w:t>Yapılacağı Yer</w:t>
      </w:r>
      <w:r w:rsidR="00652C22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 xml:space="preserve">: Enerya </w:t>
      </w:r>
      <w:r w:rsidR="000679F5">
        <w:rPr>
          <w:rFonts w:ascii="Cambria" w:hAnsi="Cambria" w:cstheme="minorHAnsi"/>
          <w:color w:val="000000"/>
        </w:rPr>
        <w:t>Konya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52C22">
        <w:rPr>
          <w:rFonts w:ascii="Cambria" w:hAnsi="Cambria" w:cstheme="minorHAnsi"/>
          <w:color w:val="000000"/>
        </w:rPr>
        <w:t xml:space="preserve"> </w:t>
      </w:r>
      <w:proofErr w:type="spellStart"/>
      <w:r w:rsidR="00652C22">
        <w:rPr>
          <w:rFonts w:ascii="Cambria" w:hAnsi="Cambria" w:cstheme="minorHAnsi"/>
          <w:color w:val="000000"/>
        </w:rPr>
        <w:t>Yeşilvadi</w:t>
      </w:r>
      <w:proofErr w:type="spellEnd"/>
      <w:r w:rsidR="00652C22">
        <w:rPr>
          <w:rFonts w:ascii="Cambria" w:hAnsi="Cambria" w:cstheme="minorHAnsi"/>
          <w:color w:val="000000"/>
        </w:rPr>
        <w:t xml:space="preserve"> Sokak    No:3, Kat 4 </w:t>
      </w:r>
      <w:proofErr w:type="spellStart"/>
      <w:r w:rsidRPr="00B92A23">
        <w:rPr>
          <w:rFonts w:ascii="Cambria" w:hAnsi="Cambria" w:cstheme="minorHAnsi"/>
          <w:color w:val="000000"/>
        </w:rPr>
        <w:t>Ataşehir</w:t>
      </w:r>
      <w:proofErr w:type="spellEnd"/>
      <w:r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6627A40C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="004B59F0">
        <w:rPr>
          <w:rFonts w:ascii="Cambria" w:hAnsi="Cambria" w:cstheme="minorHAnsi"/>
          <w:color w:val="000000"/>
        </w:rPr>
        <w:t xml:space="preserve">               </w:t>
      </w:r>
      <w:r w:rsidRPr="00B92A23">
        <w:rPr>
          <w:rFonts w:ascii="Cambria" w:hAnsi="Cambria" w:cstheme="minorHAnsi"/>
          <w:color w:val="000000"/>
        </w:rPr>
        <w:t>:</w:t>
      </w:r>
      <w:r w:rsidR="00E343E4">
        <w:rPr>
          <w:rFonts w:ascii="Cambria" w:hAnsi="Cambria" w:cstheme="minorHAnsi"/>
        </w:rPr>
        <w:t>14.10</w:t>
      </w:r>
      <w:r w:rsidR="004B59F0" w:rsidRPr="004B59F0">
        <w:rPr>
          <w:rFonts w:ascii="Cambria" w:hAnsi="Cambria" w:cstheme="minorHAnsi"/>
        </w:rPr>
        <w:t>.2020</w:t>
      </w:r>
      <w:r w:rsidR="00FB7E18" w:rsidRPr="004B59F0">
        <w:rPr>
          <w:rFonts w:ascii="Cambria" w:hAnsi="Cambria" w:cstheme="minorHAnsi"/>
        </w:rPr>
        <w:t xml:space="preserve">– Saat: </w:t>
      </w:r>
      <w:r w:rsidR="00E343E4">
        <w:rPr>
          <w:rFonts w:ascii="Cambria" w:hAnsi="Cambria" w:cstheme="minorHAnsi"/>
        </w:rPr>
        <w:t>10:30</w:t>
      </w:r>
      <w:bookmarkStart w:id="0" w:name="_GoBack"/>
      <w:bookmarkEnd w:id="0"/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3BCE34A7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679F5">
        <w:rPr>
          <w:rFonts w:ascii="Cambria" w:hAnsi="Cambria" w:cstheme="minorHAnsi"/>
          <w:color w:val="000000"/>
        </w:rPr>
        <w:t>Konya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652C22">
        <w:rPr>
          <w:rFonts w:ascii="Cambria" w:hAnsi="Cambria" w:cstheme="minorHAnsi"/>
          <w:color w:val="000000"/>
        </w:rPr>
        <w:t xml:space="preserve"> No:3</w:t>
      </w:r>
      <w:r w:rsidR="006957CC">
        <w:rPr>
          <w:rFonts w:ascii="Cambria" w:hAnsi="Cambria" w:cstheme="minorHAnsi"/>
          <w:color w:val="000000"/>
        </w:rPr>
        <w:t>,</w:t>
      </w:r>
      <w:r w:rsidR="00652C22">
        <w:rPr>
          <w:rFonts w:ascii="Cambria" w:hAnsi="Cambria" w:cstheme="minorHAnsi"/>
          <w:color w:val="000000"/>
        </w:rPr>
        <w:t>Kat 4,</w:t>
      </w:r>
      <w:r w:rsidR="006957CC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8" w:history="1">
        <w:r w:rsidR="00FB7E18" w:rsidRPr="00B92A2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322B6021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No:6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9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77777777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Verilen tekliflerin geçerlilik süresi, ihale tarihinden itibaren en az 90 (doksan)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481C66EF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04A5BDB0" w14:textId="656ABAC3" w:rsidR="007270B6" w:rsidRDefault="007270B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A8BC306" w14:textId="77777777" w:rsidR="007270B6" w:rsidRDefault="007270B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54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03"/>
        <w:gridCol w:w="1765"/>
        <w:gridCol w:w="1640"/>
      </w:tblGrid>
      <w:tr w:rsidR="00652C22" w:rsidRPr="007270B6" w14:paraId="0D687182" w14:textId="77777777" w:rsidTr="00652C2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11D9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9E9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5CE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F5DA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652C22" w:rsidRPr="007270B6" w14:paraId="6979B247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39CD" w14:textId="77777777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A94" w14:textId="77777777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8EFB8" w14:textId="73D7531F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4.100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DDB2" w14:textId="4A943F91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7DC"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</w:p>
        </w:tc>
      </w:tr>
      <w:tr w:rsidR="00652C22" w:rsidRPr="007270B6" w14:paraId="7B4C19D8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4BF8" w14:textId="77777777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64CC" w14:textId="77777777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E21E" w14:textId="78696353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7.685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27AE" w14:textId="1D62542B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7DC">
              <w:rPr>
                <w:rFonts w:ascii="Calibri" w:eastAsia="Times New Roman" w:hAnsi="Calibri" w:cs="Calibri"/>
                <w:color w:val="000000"/>
                <w:lang w:eastAsia="tr-TR"/>
              </w:rPr>
              <w:t>Cihanbeyli</w:t>
            </w:r>
          </w:p>
        </w:tc>
      </w:tr>
      <w:tr w:rsidR="00652C22" w:rsidRPr="007270B6" w14:paraId="039D6445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9307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E59" w14:textId="77777777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4172" w14:textId="11DD9DB3" w:rsidR="00652C22" w:rsidRPr="007270B6" w:rsidRDefault="00652C22" w:rsidP="00B2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11.785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19F" w14:textId="74DFF016" w:rsidR="00652C22" w:rsidRPr="007270B6" w:rsidRDefault="00652C22" w:rsidP="00727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1036562C" w14:textId="77777777" w:rsidR="000679F5" w:rsidRPr="00B92A23" w:rsidRDefault="000679F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E1A6D58" w14:textId="77777777" w:rsidR="000679F5" w:rsidRDefault="000679F5" w:rsidP="00BB0ADA">
      <w:pPr>
        <w:snapToGrid w:val="0"/>
        <w:jc w:val="both"/>
        <w:rPr>
          <w:rFonts w:ascii="Cambria" w:hAnsi="Cambria"/>
        </w:rPr>
      </w:pPr>
    </w:p>
    <w:p w14:paraId="08D58588" w14:textId="2003F7F2" w:rsidR="00E075CE" w:rsidRDefault="001D6A23" w:rsidP="00BB0ADA">
      <w:pPr>
        <w:snapToGri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Cihanbeyli </w:t>
      </w:r>
      <w:r w:rsidR="00205FF1" w:rsidRPr="00BB0ADA">
        <w:rPr>
          <w:rFonts w:ascii="Cambria" w:hAnsi="Cambria"/>
        </w:rPr>
        <w:t>Toplam</w:t>
      </w:r>
      <w:r w:rsidR="00E55953" w:rsidRPr="00BB0ADA">
        <w:rPr>
          <w:rFonts w:ascii="Cambria" w:hAnsi="Cambria"/>
        </w:rPr>
        <w:t xml:space="preserve"> </w:t>
      </w:r>
      <w:r w:rsidR="00FB2371" w:rsidRPr="00BB0ADA">
        <w:rPr>
          <w:rFonts w:ascii="Cambria" w:hAnsi="Cambria"/>
        </w:rPr>
        <w:t>alım</w:t>
      </w:r>
      <w:r w:rsidR="00E55953" w:rsidRPr="00BB0ADA">
        <w:rPr>
          <w:rFonts w:ascii="Cambria" w:hAnsi="Cambria"/>
        </w:rPr>
        <w:t xml:space="preserve"> miktarı </w:t>
      </w:r>
      <w:r w:rsidR="00B23F59">
        <w:rPr>
          <w:rFonts w:ascii="Cambria" w:hAnsi="Cambria"/>
          <w:b/>
        </w:rPr>
        <w:t>11.78</w:t>
      </w:r>
      <w:r w:rsidR="003C1029">
        <w:rPr>
          <w:rFonts w:ascii="Cambria" w:hAnsi="Cambria"/>
          <w:b/>
        </w:rPr>
        <w:t>5</w:t>
      </w:r>
      <w:r w:rsidR="004F5DEF" w:rsidRPr="00BB0ADA">
        <w:rPr>
          <w:rFonts w:ascii="Cambria" w:hAnsi="Cambria"/>
          <w:b/>
        </w:rPr>
        <w:t xml:space="preserve"> Sm</w:t>
      </w:r>
      <w:r w:rsidR="004F5DEF" w:rsidRPr="00BB0ADA">
        <w:rPr>
          <w:rFonts w:ascii="Cambria" w:hAnsi="Cambria"/>
          <w:b/>
          <w:vertAlign w:val="superscript"/>
        </w:rPr>
        <w:t>3</w:t>
      </w:r>
      <w:r w:rsidR="004F5DEF" w:rsidRPr="00BB0ADA">
        <w:rPr>
          <w:rFonts w:ascii="Cambria" w:hAnsi="Cambria"/>
        </w:rPr>
        <w:t xml:space="preserve"> </w:t>
      </w:r>
      <w:r w:rsidR="00E55953" w:rsidRPr="00BB0ADA">
        <w:rPr>
          <w:rFonts w:ascii="Cambria" w:hAnsi="Cambria"/>
        </w:rPr>
        <w:t>olacaktır.</w:t>
      </w:r>
    </w:p>
    <w:p w14:paraId="716C8028" w14:textId="77777777" w:rsidR="00794176" w:rsidRDefault="00794176" w:rsidP="00794176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A7D6FBF" w14:textId="77777777" w:rsidR="00794176" w:rsidRDefault="00794176" w:rsidP="00794176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53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03"/>
        <w:gridCol w:w="1600"/>
        <w:gridCol w:w="1640"/>
      </w:tblGrid>
      <w:tr w:rsidR="00652C22" w:rsidRPr="007270B6" w14:paraId="1D9B7AA9" w14:textId="77777777" w:rsidTr="00652C22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EC4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764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19E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MİKTAR(Sm3)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1FA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652C22" w:rsidRPr="007270B6" w14:paraId="65BDDB7D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9B8F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8721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KASIM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D01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3.843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32A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6CEEBD37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6B7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16F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88D5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6.177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4B0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1870C5EA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98C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F5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15B8C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5.961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281C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4D051663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72B5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549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8897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4.431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16D7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47F8C429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D7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E7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8CC3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4.024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9FF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4B3B4257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1B8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0E1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1E89E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2.383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FF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7FAA69C9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DBA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330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A801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1.452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C5E9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13EE6296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44AC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FAE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8DD8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4366">
              <w:t>874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CA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270B6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652C22" w:rsidRPr="007270B6" w14:paraId="2D51EF48" w14:textId="77777777" w:rsidTr="00652C2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5A5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AC6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70B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D3FB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29.145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0378" w14:textId="77777777" w:rsidR="00652C22" w:rsidRPr="007270B6" w:rsidRDefault="00652C22" w:rsidP="001847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3B556B15" w14:textId="77777777" w:rsidR="00794176" w:rsidRPr="00B92A23" w:rsidRDefault="00794176" w:rsidP="00794176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6F9DADF" w14:textId="77777777" w:rsidR="00794176" w:rsidRDefault="00794176" w:rsidP="00794176">
      <w:pPr>
        <w:snapToGrid w:val="0"/>
        <w:jc w:val="both"/>
        <w:rPr>
          <w:rFonts w:ascii="Cambria" w:hAnsi="Cambria"/>
        </w:rPr>
      </w:pPr>
    </w:p>
    <w:p w14:paraId="4A4E7979" w14:textId="534BB3BD" w:rsidR="00794176" w:rsidRDefault="001D6A23" w:rsidP="00794176">
      <w:pPr>
        <w:snapToGrid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Ömeranlı</w:t>
      </w:r>
      <w:proofErr w:type="spellEnd"/>
      <w:r>
        <w:rPr>
          <w:rFonts w:ascii="Cambria" w:hAnsi="Cambria"/>
        </w:rPr>
        <w:t xml:space="preserve"> </w:t>
      </w:r>
      <w:r w:rsidR="00794176" w:rsidRPr="00BB0ADA">
        <w:rPr>
          <w:rFonts w:ascii="Cambria" w:hAnsi="Cambria"/>
        </w:rPr>
        <w:t xml:space="preserve">Toplam alım miktarı </w:t>
      </w:r>
      <w:r w:rsidR="00794176">
        <w:rPr>
          <w:rFonts w:ascii="Cambria" w:hAnsi="Cambria"/>
          <w:b/>
        </w:rPr>
        <w:t>29.145</w:t>
      </w:r>
      <w:r w:rsidR="00794176" w:rsidRPr="00BB0ADA">
        <w:rPr>
          <w:rFonts w:ascii="Cambria" w:hAnsi="Cambria"/>
          <w:b/>
        </w:rPr>
        <w:t xml:space="preserve"> Sm</w:t>
      </w:r>
      <w:r w:rsidR="00794176" w:rsidRPr="00BB0ADA">
        <w:rPr>
          <w:rFonts w:ascii="Cambria" w:hAnsi="Cambria"/>
          <w:b/>
          <w:vertAlign w:val="superscript"/>
        </w:rPr>
        <w:t>3</w:t>
      </w:r>
      <w:r w:rsidR="00794176" w:rsidRPr="00BB0ADA">
        <w:rPr>
          <w:rFonts w:ascii="Cambria" w:hAnsi="Cambria"/>
        </w:rPr>
        <w:t xml:space="preserve"> olacaktır.</w:t>
      </w:r>
    </w:p>
    <w:p w14:paraId="1A3B35AD" w14:textId="4C9FFFA4" w:rsidR="001D6A23" w:rsidRPr="00BB0ADA" w:rsidRDefault="001D6A23" w:rsidP="00794176">
      <w:pPr>
        <w:snapToGri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CNG Toplam Alım Miktarı </w:t>
      </w:r>
      <w:r w:rsidRPr="001D6A23">
        <w:rPr>
          <w:rFonts w:ascii="Cambria" w:hAnsi="Cambria"/>
          <w:b/>
        </w:rPr>
        <w:t>40.930</w:t>
      </w:r>
      <w:r>
        <w:rPr>
          <w:rFonts w:ascii="Cambria" w:hAnsi="Cambria"/>
        </w:rPr>
        <w:t xml:space="preserve">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olacaktır.</w:t>
      </w:r>
    </w:p>
    <w:p w14:paraId="00485188" w14:textId="77777777" w:rsidR="00794176" w:rsidRPr="00BB0ADA" w:rsidRDefault="00794176" w:rsidP="00BB0ADA">
      <w:pPr>
        <w:snapToGrid w:val="0"/>
        <w:jc w:val="both"/>
        <w:rPr>
          <w:rFonts w:ascii="Cambria" w:hAnsi="Cambria"/>
        </w:rPr>
      </w:pPr>
    </w:p>
    <w:sectPr w:rsidR="00794176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C5744"/>
    <w:rsid w:val="000E2159"/>
    <w:rsid w:val="00101D32"/>
    <w:rsid w:val="00147AC6"/>
    <w:rsid w:val="001D6A23"/>
    <w:rsid w:val="001F552F"/>
    <w:rsid w:val="00205FF1"/>
    <w:rsid w:val="0021342A"/>
    <w:rsid w:val="00295189"/>
    <w:rsid w:val="002B7FA2"/>
    <w:rsid w:val="00313E3F"/>
    <w:rsid w:val="0034586E"/>
    <w:rsid w:val="003C0CAB"/>
    <w:rsid w:val="003C1029"/>
    <w:rsid w:val="00467B39"/>
    <w:rsid w:val="004733EB"/>
    <w:rsid w:val="004A7CAD"/>
    <w:rsid w:val="004B59F0"/>
    <w:rsid w:val="004F5DEF"/>
    <w:rsid w:val="005C5981"/>
    <w:rsid w:val="005C7DC5"/>
    <w:rsid w:val="00610784"/>
    <w:rsid w:val="0063683C"/>
    <w:rsid w:val="00645022"/>
    <w:rsid w:val="00652C22"/>
    <w:rsid w:val="006957CC"/>
    <w:rsid w:val="0072009C"/>
    <w:rsid w:val="007270B6"/>
    <w:rsid w:val="007411AD"/>
    <w:rsid w:val="00794176"/>
    <w:rsid w:val="0079670E"/>
    <w:rsid w:val="007B4323"/>
    <w:rsid w:val="007B7E15"/>
    <w:rsid w:val="007E0D4B"/>
    <w:rsid w:val="00852E0B"/>
    <w:rsid w:val="00866CA5"/>
    <w:rsid w:val="008C490A"/>
    <w:rsid w:val="00923169"/>
    <w:rsid w:val="0092585F"/>
    <w:rsid w:val="0093672B"/>
    <w:rsid w:val="00951C67"/>
    <w:rsid w:val="009E436D"/>
    <w:rsid w:val="009E770D"/>
    <w:rsid w:val="00A40A56"/>
    <w:rsid w:val="00A72429"/>
    <w:rsid w:val="00A9199F"/>
    <w:rsid w:val="00AC1148"/>
    <w:rsid w:val="00AC7C71"/>
    <w:rsid w:val="00B04E68"/>
    <w:rsid w:val="00B23F59"/>
    <w:rsid w:val="00B43AF3"/>
    <w:rsid w:val="00B80A4A"/>
    <w:rsid w:val="00B92A23"/>
    <w:rsid w:val="00BB0ADA"/>
    <w:rsid w:val="00BD342A"/>
    <w:rsid w:val="00BD4913"/>
    <w:rsid w:val="00C04249"/>
    <w:rsid w:val="00C10C35"/>
    <w:rsid w:val="00C7319A"/>
    <w:rsid w:val="00CA5E3C"/>
    <w:rsid w:val="00CC6DCB"/>
    <w:rsid w:val="00CD3D53"/>
    <w:rsid w:val="00CE60C4"/>
    <w:rsid w:val="00D62A59"/>
    <w:rsid w:val="00DE0341"/>
    <w:rsid w:val="00E075CE"/>
    <w:rsid w:val="00E343E4"/>
    <w:rsid w:val="00E55953"/>
    <w:rsid w:val="00EB4E55"/>
    <w:rsid w:val="00EE0C1D"/>
    <w:rsid w:val="00F60C93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maps/XQxvxKDQSAm6DjX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konya@hs02.kep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rya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BE79-9046-4908-BB68-BE490D7A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Murat İkitemur</cp:lastModifiedBy>
  <cp:revision>2</cp:revision>
  <cp:lastPrinted>2019-12-10T11:21:00Z</cp:lastPrinted>
  <dcterms:created xsi:type="dcterms:W3CDTF">2020-10-01T11:14:00Z</dcterms:created>
  <dcterms:modified xsi:type="dcterms:W3CDTF">2020-10-01T11:14:00Z</dcterms:modified>
</cp:coreProperties>
</file>