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F" w:rsidRDefault="009766CB" w:rsidP="003977B0">
      <w:pPr>
        <w:pStyle w:val="Balk1"/>
        <w:spacing w:before="78"/>
        <w:ind w:left="284" w:right="-56" w:firstLine="139"/>
      </w:pPr>
      <w:r>
        <w:t xml:space="preserve">ENERYA </w:t>
      </w:r>
      <w:r w:rsidR="00691D8B">
        <w:t>KARAMAN</w:t>
      </w:r>
      <w:r>
        <w:t xml:space="preserve"> GAZ DAĞITI</w:t>
      </w:r>
      <w:r w:rsidR="00691D8B">
        <w:t xml:space="preserve">M A.Ş.’YE AİT LNG UYDU İSTASYON </w:t>
      </w:r>
      <w:r>
        <w:t>SAHA</w:t>
      </w:r>
      <w:r w:rsidR="00691D8B">
        <w:t>S</w:t>
      </w:r>
      <w:r>
        <w:t xml:space="preserve">INDAKİ </w:t>
      </w:r>
      <w:r w:rsidR="00691D8B">
        <w:t xml:space="preserve">TANKLARA </w:t>
      </w:r>
      <w:r>
        <w:t xml:space="preserve">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w:t>
      </w:r>
      <w:r w:rsidR="00691D8B">
        <w:t>Karaman</w:t>
      </w:r>
      <w:r>
        <w:t xml:space="preserve"> Gaz Dağıtım </w:t>
      </w:r>
      <w:proofErr w:type="gramStart"/>
      <w:r>
        <w:t>A.Ş.’nin</w:t>
      </w:r>
      <w:proofErr w:type="gramEnd"/>
      <w:r>
        <w:t xml:space="preserve"> (bundan böyle ENERYA olarak anılacaktır) doğal gaz dağıtım lisansı kapsamında, teslim noktası </w:t>
      </w:r>
      <w:r w:rsidR="00691D8B">
        <w:rPr>
          <w:color w:val="000000" w:themeColor="text1"/>
        </w:rPr>
        <w:t>Ermenek</w:t>
      </w:r>
      <w:r w:rsidR="00FB6C9A" w:rsidRPr="00731318">
        <w:rPr>
          <w:color w:val="000000" w:themeColor="text1"/>
        </w:rPr>
        <w:t xml:space="preserve">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22</w:t>
      </w:r>
      <w:r w:rsidRPr="00B270DE">
        <w:t xml:space="preserve"> </w:t>
      </w:r>
      <w:r w:rsidR="007E22A5" w:rsidRPr="00B270DE">
        <w:t>Temmuz</w:t>
      </w:r>
      <w:r w:rsidRPr="00B270DE">
        <w:t>-</w:t>
      </w:r>
      <w:r w:rsidR="00E33B43">
        <w:t>Aralık, 2023</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5422" w:type="dxa"/>
        <w:jc w:val="center"/>
        <w:tblCellMar>
          <w:left w:w="70" w:type="dxa"/>
          <w:right w:w="70" w:type="dxa"/>
        </w:tblCellMar>
        <w:tblLook w:val="04A0" w:firstRow="1" w:lastRow="0" w:firstColumn="1" w:lastColumn="0" w:noHBand="0" w:noVBand="1"/>
      </w:tblPr>
      <w:tblGrid>
        <w:gridCol w:w="1602"/>
        <w:gridCol w:w="1580"/>
        <w:gridCol w:w="2240"/>
      </w:tblGrid>
      <w:tr w:rsidR="00691D8B" w:rsidRPr="00560ECE" w:rsidTr="00691D8B">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91D8B" w:rsidRPr="00560ECE" w:rsidRDefault="00691D8B" w:rsidP="003E2FBC">
            <w:pPr>
              <w:widowControl/>
              <w:autoSpaceDE/>
              <w:autoSpaceDN/>
              <w:jc w:val="center"/>
              <w:rPr>
                <w:rFonts w:asciiTheme="majorHAnsi" w:eastAsia="Times New Roman" w:hAnsiTheme="majorHAnsi" w:cs="Calibri"/>
                <w:b/>
                <w:bCs/>
                <w:color w:val="000000"/>
                <w:lang w:val="tr-TR" w:eastAsia="tr-TR"/>
              </w:rPr>
            </w:pPr>
            <w:r w:rsidRPr="00560ECE">
              <w:rPr>
                <w:rFonts w:asciiTheme="majorHAnsi" w:eastAsia="Times New Roman" w:hAnsiTheme="majorHAnsi"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91D8B" w:rsidRPr="00560ECE" w:rsidRDefault="00691D8B" w:rsidP="003E2FBC">
            <w:pPr>
              <w:widowControl/>
              <w:autoSpaceDE/>
              <w:autoSpaceDN/>
              <w:jc w:val="center"/>
              <w:rPr>
                <w:rFonts w:asciiTheme="majorHAnsi" w:eastAsia="Times New Roman" w:hAnsiTheme="majorHAnsi" w:cs="Calibri"/>
                <w:b/>
                <w:bCs/>
                <w:color w:val="000000"/>
                <w:lang w:val="tr-TR" w:eastAsia="tr-TR"/>
              </w:rPr>
            </w:pPr>
            <w:r w:rsidRPr="00560ECE">
              <w:rPr>
                <w:rFonts w:asciiTheme="majorHAnsi" w:eastAsia="Times New Roman" w:hAnsiTheme="majorHAnsi"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691D8B" w:rsidRPr="00560ECE" w:rsidRDefault="00691D8B" w:rsidP="003E2FBC">
            <w:pPr>
              <w:widowControl/>
              <w:autoSpaceDE/>
              <w:autoSpaceDN/>
              <w:jc w:val="center"/>
              <w:rPr>
                <w:rFonts w:asciiTheme="majorHAnsi" w:eastAsia="Times New Roman" w:hAnsiTheme="majorHAnsi" w:cs="Calibri"/>
                <w:b/>
                <w:bCs/>
                <w:color w:val="000000"/>
                <w:lang w:val="tr-TR" w:eastAsia="tr-TR"/>
              </w:rPr>
            </w:pPr>
            <w:r w:rsidRPr="00560ECE">
              <w:rPr>
                <w:rFonts w:asciiTheme="majorHAnsi" w:eastAsia="Times New Roman" w:hAnsiTheme="majorHAnsi" w:cs="Calibri"/>
                <w:b/>
                <w:bCs/>
                <w:color w:val="000000"/>
                <w:lang w:val="tr-TR" w:eastAsia="tr-TR"/>
              </w:rPr>
              <w:t xml:space="preserve">TESLİM </w:t>
            </w:r>
            <w:r w:rsidR="003175C1" w:rsidRPr="00560ECE">
              <w:rPr>
                <w:rFonts w:asciiTheme="majorHAnsi" w:eastAsia="Times New Roman" w:hAnsiTheme="majorHAnsi" w:cs="Calibri"/>
                <w:b/>
                <w:bCs/>
                <w:color w:val="000000"/>
                <w:lang w:val="tr-TR" w:eastAsia="tr-TR"/>
              </w:rPr>
              <w:t>NOKTASI;</w:t>
            </w:r>
          </w:p>
        </w:tc>
      </w:tr>
      <w:tr w:rsidR="00691D8B" w:rsidRPr="00560ECE" w:rsidTr="00691D8B">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691D8B" w:rsidRPr="00560ECE" w:rsidRDefault="00691D8B" w:rsidP="003E2FBC">
            <w:pPr>
              <w:widowControl/>
              <w:autoSpaceDE/>
              <w:autoSpaceDN/>
              <w:rPr>
                <w:rFonts w:asciiTheme="majorHAnsi" w:eastAsia="Times New Roman" w:hAnsiTheme="majorHAnsi"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691D8B" w:rsidRPr="00560ECE" w:rsidRDefault="00691D8B" w:rsidP="003E2FBC">
            <w:pPr>
              <w:widowControl/>
              <w:autoSpaceDE/>
              <w:autoSpaceDN/>
              <w:rPr>
                <w:rFonts w:asciiTheme="majorHAnsi" w:eastAsia="Times New Roman" w:hAnsiTheme="majorHAnsi"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691D8B" w:rsidRPr="00560ECE" w:rsidRDefault="00691D8B" w:rsidP="003E2FBC">
            <w:pPr>
              <w:widowControl/>
              <w:autoSpaceDE/>
              <w:autoSpaceDN/>
              <w:jc w:val="center"/>
              <w:rPr>
                <w:rFonts w:asciiTheme="majorHAnsi" w:eastAsia="Times New Roman" w:hAnsiTheme="majorHAnsi" w:cs="Calibri"/>
                <w:b/>
                <w:bCs/>
                <w:color w:val="000000"/>
                <w:lang w:val="tr-TR" w:eastAsia="tr-TR"/>
              </w:rPr>
            </w:pPr>
            <w:r w:rsidRPr="00560ECE">
              <w:rPr>
                <w:rFonts w:asciiTheme="majorHAnsi" w:eastAsia="Times New Roman" w:hAnsiTheme="majorHAnsi" w:cs="Calibri"/>
                <w:b/>
                <w:bCs/>
                <w:color w:val="000000"/>
                <w:lang w:val="tr-TR" w:eastAsia="tr-TR"/>
              </w:rPr>
              <w:t>ERMENEK</w:t>
            </w:r>
          </w:p>
        </w:tc>
      </w:tr>
      <w:tr w:rsidR="00691D8B" w:rsidRPr="00560ECE" w:rsidTr="00691D8B">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691D8B" w:rsidRPr="00560ECE" w:rsidRDefault="00691D8B" w:rsidP="003E2FBC">
            <w:pPr>
              <w:widowControl/>
              <w:autoSpaceDE/>
              <w:autoSpaceDN/>
              <w:rPr>
                <w:rFonts w:asciiTheme="majorHAnsi" w:eastAsia="Times New Roman" w:hAnsiTheme="majorHAnsi"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691D8B" w:rsidRPr="00560ECE" w:rsidRDefault="00691D8B" w:rsidP="003E2FBC">
            <w:pPr>
              <w:widowControl/>
              <w:autoSpaceDE/>
              <w:autoSpaceDN/>
              <w:rPr>
                <w:rFonts w:asciiTheme="majorHAnsi" w:eastAsia="Times New Roman" w:hAnsiTheme="majorHAnsi"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691D8B" w:rsidRPr="00560ECE" w:rsidRDefault="00691D8B" w:rsidP="003E2FBC">
            <w:pPr>
              <w:widowControl/>
              <w:autoSpaceDE/>
              <w:autoSpaceDN/>
              <w:jc w:val="center"/>
              <w:rPr>
                <w:rFonts w:asciiTheme="majorHAnsi" w:eastAsia="Times New Roman" w:hAnsiTheme="majorHAnsi" w:cs="Calibri"/>
                <w:b/>
                <w:bCs/>
                <w:color w:val="000000"/>
                <w:lang w:val="tr-TR" w:eastAsia="tr-TR"/>
              </w:rPr>
            </w:pPr>
            <w:r w:rsidRPr="00560ECE">
              <w:rPr>
                <w:rFonts w:asciiTheme="majorHAnsi" w:eastAsia="Times New Roman" w:hAnsiTheme="majorHAnsi" w:cs="Calibri"/>
                <w:b/>
                <w:bCs/>
                <w:color w:val="000000"/>
                <w:lang w:val="tr-TR" w:eastAsia="tr-TR"/>
              </w:rPr>
              <w:t>MİKTAR (kWh)</w:t>
            </w:r>
          </w:p>
        </w:tc>
      </w:tr>
      <w:tr w:rsidR="00674560" w:rsidRPr="00560ECE" w:rsidTr="009D18FD">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TEMMUZ</w:t>
            </w:r>
          </w:p>
        </w:tc>
        <w:tc>
          <w:tcPr>
            <w:tcW w:w="2240" w:type="dxa"/>
            <w:tcBorders>
              <w:top w:val="nil"/>
              <w:left w:val="nil"/>
              <w:bottom w:val="single" w:sz="8" w:space="0" w:color="auto"/>
              <w:right w:val="single" w:sz="8" w:space="0" w:color="auto"/>
            </w:tcBorders>
            <w:noWrap/>
            <w:vAlign w:val="center"/>
          </w:tcPr>
          <w:p w:rsidR="00674560" w:rsidRPr="00560ECE" w:rsidRDefault="00674560" w:rsidP="00674560">
            <w:pPr>
              <w:jc w:val="center"/>
              <w:rPr>
                <w:rFonts w:asciiTheme="majorHAnsi" w:eastAsiaTheme="minorHAnsi" w:hAnsiTheme="majorHAnsi" w:cs="Calibri"/>
                <w:color w:val="000000"/>
                <w:lang w:eastAsia="tr-TR"/>
              </w:rPr>
            </w:pPr>
            <w:r w:rsidRPr="00560ECE">
              <w:rPr>
                <w:rFonts w:asciiTheme="majorHAnsi" w:hAnsiTheme="majorHAnsi"/>
                <w:color w:val="000000"/>
                <w:lang w:eastAsia="tr-TR"/>
              </w:rPr>
              <w:t>280.469</w:t>
            </w:r>
          </w:p>
        </w:tc>
      </w:tr>
      <w:tr w:rsidR="00674560" w:rsidRPr="00560ECE" w:rsidTr="009D18FD">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AĞUSTOS</w:t>
            </w:r>
          </w:p>
        </w:tc>
        <w:tc>
          <w:tcPr>
            <w:tcW w:w="2240" w:type="dxa"/>
            <w:tcBorders>
              <w:top w:val="nil"/>
              <w:left w:val="nil"/>
              <w:bottom w:val="single" w:sz="8" w:space="0" w:color="auto"/>
              <w:right w:val="single" w:sz="8" w:space="0" w:color="auto"/>
            </w:tcBorders>
            <w:noWrap/>
            <w:vAlign w:val="center"/>
          </w:tcPr>
          <w:p w:rsidR="00674560" w:rsidRPr="00560ECE" w:rsidRDefault="00674560" w:rsidP="00674560">
            <w:pPr>
              <w:jc w:val="center"/>
              <w:rPr>
                <w:rFonts w:asciiTheme="majorHAnsi" w:hAnsiTheme="majorHAnsi"/>
                <w:color w:val="000000"/>
                <w:lang w:eastAsia="tr-TR"/>
              </w:rPr>
            </w:pPr>
            <w:r w:rsidRPr="00560ECE">
              <w:rPr>
                <w:rFonts w:asciiTheme="majorHAnsi" w:hAnsiTheme="majorHAnsi"/>
                <w:color w:val="000000"/>
                <w:lang w:eastAsia="tr-TR"/>
              </w:rPr>
              <w:t>306.894</w:t>
            </w:r>
          </w:p>
        </w:tc>
      </w:tr>
      <w:tr w:rsidR="00674560" w:rsidRPr="00560ECE" w:rsidTr="009D18FD">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EYLÜL</w:t>
            </w:r>
          </w:p>
        </w:tc>
        <w:tc>
          <w:tcPr>
            <w:tcW w:w="2240" w:type="dxa"/>
            <w:tcBorders>
              <w:top w:val="nil"/>
              <w:left w:val="nil"/>
              <w:bottom w:val="single" w:sz="8" w:space="0" w:color="auto"/>
              <w:right w:val="single" w:sz="8" w:space="0" w:color="auto"/>
            </w:tcBorders>
            <w:noWrap/>
            <w:vAlign w:val="center"/>
          </w:tcPr>
          <w:p w:rsidR="00674560" w:rsidRPr="00560ECE" w:rsidRDefault="00674560" w:rsidP="00674560">
            <w:pPr>
              <w:jc w:val="center"/>
              <w:rPr>
                <w:rFonts w:asciiTheme="majorHAnsi" w:hAnsiTheme="majorHAnsi"/>
                <w:color w:val="000000"/>
                <w:lang w:eastAsia="tr-TR"/>
              </w:rPr>
            </w:pPr>
            <w:r w:rsidRPr="00560ECE">
              <w:rPr>
                <w:rFonts w:asciiTheme="majorHAnsi" w:hAnsiTheme="majorHAnsi"/>
                <w:color w:val="000000"/>
                <w:lang w:eastAsia="tr-TR"/>
              </w:rPr>
              <w:t>406.406</w:t>
            </w:r>
          </w:p>
        </w:tc>
      </w:tr>
      <w:tr w:rsidR="00674560" w:rsidRPr="00560ECE" w:rsidTr="009D18FD">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EKİM</w:t>
            </w:r>
          </w:p>
        </w:tc>
        <w:tc>
          <w:tcPr>
            <w:tcW w:w="2240" w:type="dxa"/>
            <w:tcBorders>
              <w:top w:val="nil"/>
              <w:left w:val="nil"/>
              <w:bottom w:val="single" w:sz="8" w:space="0" w:color="auto"/>
              <w:right w:val="single" w:sz="8" w:space="0" w:color="auto"/>
            </w:tcBorders>
            <w:noWrap/>
            <w:vAlign w:val="center"/>
          </w:tcPr>
          <w:p w:rsidR="00674560" w:rsidRPr="00560ECE" w:rsidRDefault="00674560" w:rsidP="00674560">
            <w:pPr>
              <w:jc w:val="center"/>
              <w:rPr>
                <w:rFonts w:asciiTheme="majorHAnsi" w:hAnsiTheme="majorHAnsi"/>
                <w:color w:val="000000"/>
                <w:lang w:eastAsia="tr-TR"/>
              </w:rPr>
            </w:pPr>
            <w:r w:rsidRPr="00560ECE">
              <w:rPr>
                <w:rFonts w:asciiTheme="majorHAnsi" w:hAnsiTheme="majorHAnsi"/>
                <w:color w:val="000000"/>
                <w:lang w:eastAsia="tr-TR"/>
              </w:rPr>
              <w:t>1.119.950</w:t>
            </w:r>
          </w:p>
        </w:tc>
      </w:tr>
      <w:tr w:rsidR="00674560" w:rsidRPr="00560ECE" w:rsidTr="009D18FD">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KASIM</w:t>
            </w:r>
          </w:p>
        </w:tc>
        <w:tc>
          <w:tcPr>
            <w:tcW w:w="2240" w:type="dxa"/>
            <w:tcBorders>
              <w:top w:val="nil"/>
              <w:left w:val="nil"/>
              <w:bottom w:val="single" w:sz="8" w:space="0" w:color="auto"/>
              <w:right w:val="single" w:sz="8" w:space="0" w:color="auto"/>
            </w:tcBorders>
            <w:noWrap/>
            <w:vAlign w:val="center"/>
          </w:tcPr>
          <w:p w:rsidR="00674560" w:rsidRPr="00560ECE" w:rsidRDefault="00674560" w:rsidP="00674560">
            <w:pPr>
              <w:jc w:val="center"/>
              <w:rPr>
                <w:rFonts w:asciiTheme="majorHAnsi" w:hAnsiTheme="majorHAnsi"/>
                <w:color w:val="000000"/>
                <w:lang w:eastAsia="tr-TR"/>
              </w:rPr>
            </w:pPr>
            <w:r w:rsidRPr="00560ECE">
              <w:rPr>
                <w:rFonts w:asciiTheme="majorHAnsi" w:hAnsiTheme="majorHAnsi"/>
                <w:color w:val="000000"/>
                <w:lang w:eastAsia="tr-TR"/>
              </w:rPr>
              <w:t>2.422.200</w:t>
            </w:r>
          </w:p>
        </w:tc>
      </w:tr>
      <w:tr w:rsidR="00674560" w:rsidRPr="00560ECE" w:rsidTr="009D18FD">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ARALIK</w:t>
            </w:r>
          </w:p>
        </w:tc>
        <w:tc>
          <w:tcPr>
            <w:tcW w:w="2240" w:type="dxa"/>
            <w:tcBorders>
              <w:top w:val="nil"/>
              <w:left w:val="nil"/>
              <w:bottom w:val="single" w:sz="8" w:space="0" w:color="auto"/>
              <w:right w:val="single" w:sz="8" w:space="0" w:color="auto"/>
            </w:tcBorders>
            <w:noWrap/>
            <w:vAlign w:val="center"/>
          </w:tcPr>
          <w:p w:rsidR="00674560" w:rsidRPr="00560ECE" w:rsidRDefault="00674560" w:rsidP="00674560">
            <w:pPr>
              <w:jc w:val="center"/>
              <w:rPr>
                <w:rFonts w:asciiTheme="majorHAnsi" w:hAnsiTheme="majorHAnsi"/>
                <w:color w:val="000000"/>
                <w:lang w:eastAsia="tr-TR"/>
              </w:rPr>
            </w:pPr>
            <w:r w:rsidRPr="00560ECE">
              <w:rPr>
                <w:rFonts w:asciiTheme="majorHAnsi" w:hAnsiTheme="majorHAnsi"/>
                <w:color w:val="000000"/>
                <w:lang w:eastAsia="tr-TR"/>
              </w:rPr>
              <w:t>4.262.186</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2022</w:t>
            </w:r>
          </w:p>
        </w:tc>
        <w:tc>
          <w:tcPr>
            <w:tcW w:w="1580" w:type="dxa"/>
            <w:tcBorders>
              <w:top w:val="nil"/>
              <w:left w:val="nil"/>
              <w:bottom w:val="single" w:sz="8" w:space="0" w:color="auto"/>
              <w:right w:val="single" w:sz="8" w:space="0" w:color="auto"/>
            </w:tcBorders>
            <w:shd w:val="clear" w:color="000000" w:fill="DDEBF7"/>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674560" w:rsidRPr="00560ECE" w:rsidRDefault="00674560" w:rsidP="00674560">
            <w:pPr>
              <w:jc w:val="center"/>
              <w:rPr>
                <w:rFonts w:asciiTheme="majorHAnsi" w:eastAsia="Times New Roman" w:hAnsiTheme="majorHAnsi" w:cs="Calibri"/>
                <w:b/>
                <w:color w:val="000000"/>
              </w:rPr>
            </w:pPr>
            <w:r w:rsidRPr="00560ECE">
              <w:rPr>
                <w:rFonts w:asciiTheme="majorHAnsi" w:hAnsiTheme="majorHAnsi" w:cs="Calibri"/>
                <w:b/>
                <w:color w:val="000000"/>
              </w:rPr>
              <w:t>8.798.105</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2023</w:t>
            </w:r>
          </w:p>
        </w:tc>
        <w:tc>
          <w:tcPr>
            <w:tcW w:w="1580" w:type="dxa"/>
            <w:tcBorders>
              <w:top w:val="nil"/>
              <w:left w:val="nil"/>
              <w:bottom w:val="single" w:sz="8" w:space="0" w:color="auto"/>
              <w:right w:val="single" w:sz="8" w:space="0" w:color="auto"/>
            </w:tcBorders>
            <w:shd w:val="clear" w:color="000000" w:fill="FFFFFF"/>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OCAK</w:t>
            </w:r>
          </w:p>
        </w:tc>
        <w:tc>
          <w:tcPr>
            <w:tcW w:w="2240" w:type="dxa"/>
            <w:tcBorders>
              <w:top w:val="nil"/>
              <w:left w:val="nil"/>
              <w:bottom w:val="single" w:sz="8" w:space="0" w:color="auto"/>
              <w:right w:val="single" w:sz="8" w:space="0" w:color="auto"/>
            </w:tcBorders>
            <w:shd w:val="clear" w:color="auto" w:fill="auto"/>
            <w:noWrap/>
            <w:vAlign w:val="center"/>
          </w:tcPr>
          <w:p w:rsidR="00674560" w:rsidRPr="00560ECE" w:rsidRDefault="00674560" w:rsidP="00674560">
            <w:pPr>
              <w:jc w:val="center"/>
              <w:rPr>
                <w:rFonts w:asciiTheme="majorHAnsi" w:eastAsia="Times New Roman" w:hAnsiTheme="majorHAnsi" w:cs="Calibri"/>
                <w:color w:val="000000"/>
              </w:rPr>
            </w:pPr>
            <w:r w:rsidRPr="00560ECE">
              <w:rPr>
                <w:rFonts w:asciiTheme="majorHAnsi" w:hAnsiTheme="majorHAnsi" w:cs="Calibri"/>
                <w:color w:val="000000"/>
              </w:rPr>
              <w:t>5.249.524</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ŞUBAT</w:t>
            </w:r>
          </w:p>
        </w:tc>
        <w:tc>
          <w:tcPr>
            <w:tcW w:w="2240" w:type="dxa"/>
            <w:tcBorders>
              <w:top w:val="nil"/>
              <w:left w:val="nil"/>
              <w:bottom w:val="single" w:sz="8" w:space="0" w:color="auto"/>
              <w:right w:val="single" w:sz="8" w:space="0" w:color="auto"/>
            </w:tcBorders>
            <w:shd w:val="clear" w:color="auto" w:fill="auto"/>
            <w:noWrap/>
            <w:vAlign w:val="center"/>
          </w:tcPr>
          <w:p w:rsidR="00674560" w:rsidRPr="00560ECE" w:rsidRDefault="00674560" w:rsidP="00674560">
            <w:pPr>
              <w:jc w:val="center"/>
              <w:rPr>
                <w:rFonts w:asciiTheme="majorHAnsi" w:hAnsiTheme="majorHAnsi" w:cs="Calibri"/>
                <w:color w:val="000000"/>
              </w:rPr>
            </w:pPr>
            <w:r w:rsidRPr="00560ECE">
              <w:rPr>
                <w:rFonts w:asciiTheme="majorHAnsi" w:hAnsiTheme="majorHAnsi" w:cs="Calibri"/>
                <w:color w:val="000000"/>
              </w:rPr>
              <w:t>4.171.968</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MART</w:t>
            </w:r>
          </w:p>
        </w:tc>
        <w:tc>
          <w:tcPr>
            <w:tcW w:w="2240" w:type="dxa"/>
            <w:tcBorders>
              <w:top w:val="nil"/>
              <w:left w:val="nil"/>
              <w:bottom w:val="single" w:sz="8" w:space="0" w:color="auto"/>
              <w:right w:val="single" w:sz="8" w:space="0" w:color="auto"/>
            </w:tcBorders>
            <w:shd w:val="clear" w:color="auto" w:fill="auto"/>
            <w:noWrap/>
            <w:vAlign w:val="center"/>
          </w:tcPr>
          <w:p w:rsidR="00674560" w:rsidRPr="00560ECE" w:rsidRDefault="00674560" w:rsidP="00674560">
            <w:pPr>
              <w:jc w:val="center"/>
              <w:rPr>
                <w:rFonts w:asciiTheme="majorHAnsi" w:hAnsiTheme="majorHAnsi" w:cs="Calibri"/>
                <w:color w:val="000000"/>
              </w:rPr>
            </w:pPr>
            <w:r w:rsidRPr="00560ECE">
              <w:rPr>
                <w:rFonts w:asciiTheme="majorHAnsi" w:hAnsiTheme="majorHAnsi" w:cs="Calibri"/>
                <w:color w:val="000000"/>
              </w:rPr>
              <w:t>4.192.472</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NİSAN</w:t>
            </w:r>
          </w:p>
        </w:tc>
        <w:tc>
          <w:tcPr>
            <w:tcW w:w="2240" w:type="dxa"/>
            <w:tcBorders>
              <w:top w:val="nil"/>
              <w:left w:val="nil"/>
              <w:bottom w:val="single" w:sz="8" w:space="0" w:color="auto"/>
              <w:right w:val="single" w:sz="8" w:space="0" w:color="auto"/>
            </w:tcBorders>
            <w:shd w:val="clear" w:color="auto" w:fill="auto"/>
            <w:noWrap/>
            <w:vAlign w:val="center"/>
          </w:tcPr>
          <w:p w:rsidR="00674560" w:rsidRPr="00560ECE" w:rsidRDefault="00674560" w:rsidP="00674560">
            <w:pPr>
              <w:jc w:val="center"/>
              <w:rPr>
                <w:rFonts w:asciiTheme="majorHAnsi" w:hAnsiTheme="majorHAnsi" w:cs="Calibri"/>
                <w:color w:val="000000"/>
              </w:rPr>
            </w:pPr>
            <w:r w:rsidRPr="00560ECE">
              <w:rPr>
                <w:rFonts w:asciiTheme="majorHAnsi" w:hAnsiTheme="majorHAnsi" w:cs="Calibri"/>
                <w:color w:val="000000"/>
              </w:rPr>
              <w:t>2.109.415</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MAYIS</w:t>
            </w:r>
          </w:p>
        </w:tc>
        <w:tc>
          <w:tcPr>
            <w:tcW w:w="2240" w:type="dxa"/>
            <w:tcBorders>
              <w:top w:val="nil"/>
              <w:left w:val="nil"/>
              <w:bottom w:val="single" w:sz="8" w:space="0" w:color="auto"/>
              <w:right w:val="single" w:sz="8" w:space="0" w:color="auto"/>
            </w:tcBorders>
            <w:shd w:val="clear" w:color="auto" w:fill="auto"/>
            <w:noWrap/>
            <w:vAlign w:val="center"/>
          </w:tcPr>
          <w:p w:rsidR="00674560" w:rsidRPr="00560ECE" w:rsidRDefault="00674560" w:rsidP="00674560">
            <w:pPr>
              <w:jc w:val="center"/>
              <w:rPr>
                <w:rFonts w:asciiTheme="majorHAnsi" w:hAnsiTheme="majorHAnsi" w:cs="Calibri"/>
                <w:color w:val="000000"/>
              </w:rPr>
            </w:pPr>
            <w:r w:rsidRPr="00560ECE">
              <w:rPr>
                <w:rFonts w:asciiTheme="majorHAnsi" w:hAnsiTheme="majorHAnsi" w:cs="Calibri"/>
                <w:color w:val="000000"/>
              </w:rPr>
              <w:t>785.366</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674560" w:rsidRPr="00560ECE" w:rsidRDefault="00674560" w:rsidP="00674560">
            <w:pPr>
              <w:widowControl/>
              <w:autoSpaceDE/>
              <w:autoSpaceDN/>
              <w:ind w:firstLineChars="100" w:firstLine="220"/>
              <w:rPr>
                <w:rFonts w:asciiTheme="majorHAnsi" w:eastAsia="Times New Roman" w:hAnsiTheme="majorHAnsi" w:cs="Calibri"/>
                <w:lang w:val="tr-TR" w:eastAsia="tr-TR"/>
              </w:rPr>
            </w:pPr>
            <w:r w:rsidRPr="00560ECE">
              <w:rPr>
                <w:rFonts w:asciiTheme="majorHAnsi" w:eastAsia="Times New Roman" w:hAnsiTheme="majorHAnsi" w:cs="Calibri"/>
                <w:lang w:val="tr-TR" w:eastAsia="tr-TR"/>
              </w:rPr>
              <w:t>HAZİRAN</w:t>
            </w:r>
          </w:p>
        </w:tc>
        <w:tc>
          <w:tcPr>
            <w:tcW w:w="2240" w:type="dxa"/>
            <w:tcBorders>
              <w:top w:val="nil"/>
              <w:left w:val="nil"/>
              <w:bottom w:val="single" w:sz="8" w:space="0" w:color="auto"/>
              <w:right w:val="single" w:sz="8" w:space="0" w:color="auto"/>
            </w:tcBorders>
            <w:shd w:val="clear" w:color="auto" w:fill="auto"/>
            <w:noWrap/>
            <w:vAlign w:val="center"/>
          </w:tcPr>
          <w:p w:rsidR="00674560" w:rsidRPr="00560ECE" w:rsidRDefault="00674560" w:rsidP="00674560">
            <w:pPr>
              <w:jc w:val="center"/>
              <w:rPr>
                <w:rFonts w:asciiTheme="majorHAnsi" w:hAnsiTheme="majorHAnsi" w:cs="Calibri"/>
                <w:color w:val="000000"/>
              </w:rPr>
            </w:pPr>
            <w:r w:rsidRPr="00560ECE">
              <w:rPr>
                <w:rFonts w:asciiTheme="majorHAnsi" w:hAnsiTheme="majorHAnsi" w:cs="Calibri"/>
                <w:color w:val="000000"/>
              </w:rPr>
              <w:t>538.013</w:t>
            </w:r>
          </w:p>
        </w:tc>
      </w:tr>
      <w:tr w:rsidR="00674560" w:rsidRPr="00560ECE" w:rsidTr="00691D8B">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674560" w:rsidRPr="00560ECE" w:rsidRDefault="00674560" w:rsidP="00674560">
            <w:pPr>
              <w:widowControl/>
              <w:autoSpaceDE/>
              <w:autoSpaceDN/>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 xml:space="preserve">    TOPLAM</w:t>
            </w:r>
          </w:p>
        </w:tc>
        <w:tc>
          <w:tcPr>
            <w:tcW w:w="2240" w:type="dxa"/>
            <w:tcBorders>
              <w:top w:val="nil"/>
              <w:left w:val="nil"/>
              <w:bottom w:val="single" w:sz="8" w:space="0" w:color="auto"/>
              <w:right w:val="single" w:sz="8" w:space="0" w:color="auto"/>
            </w:tcBorders>
            <w:shd w:val="clear" w:color="000000" w:fill="DDEBF7"/>
            <w:noWrap/>
            <w:vAlign w:val="center"/>
          </w:tcPr>
          <w:p w:rsidR="00674560" w:rsidRPr="00560ECE" w:rsidRDefault="00674560" w:rsidP="00674560">
            <w:pPr>
              <w:jc w:val="center"/>
              <w:rPr>
                <w:rFonts w:asciiTheme="majorHAnsi" w:eastAsia="Times New Roman" w:hAnsiTheme="majorHAnsi" w:cs="Calibri"/>
                <w:b/>
                <w:color w:val="000000"/>
              </w:rPr>
            </w:pPr>
            <w:r w:rsidRPr="00560ECE">
              <w:rPr>
                <w:rFonts w:asciiTheme="majorHAnsi" w:hAnsiTheme="majorHAnsi" w:cs="Calibri"/>
                <w:b/>
                <w:color w:val="000000"/>
              </w:rPr>
              <w:t>17.046.758</w:t>
            </w:r>
          </w:p>
        </w:tc>
      </w:tr>
      <w:tr w:rsidR="00674560" w:rsidRPr="00560ECE" w:rsidTr="00691D8B">
        <w:trPr>
          <w:trHeight w:val="113"/>
          <w:jc w:val="center"/>
        </w:trPr>
        <w:tc>
          <w:tcPr>
            <w:tcW w:w="1602" w:type="dxa"/>
            <w:tcBorders>
              <w:top w:val="nil"/>
              <w:left w:val="nil"/>
              <w:bottom w:val="single" w:sz="8" w:space="0" w:color="auto"/>
              <w:right w:val="nil"/>
            </w:tcBorders>
            <w:shd w:val="clear" w:color="auto" w:fill="auto"/>
            <w:noWrap/>
            <w:vAlign w:val="center"/>
            <w:hideMark/>
          </w:tcPr>
          <w:p w:rsidR="00674560" w:rsidRPr="00560ECE" w:rsidRDefault="00674560" w:rsidP="00674560">
            <w:pPr>
              <w:widowControl/>
              <w:autoSpaceDE/>
              <w:autoSpaceDN/>
              <w:ind w:firstLineChars="300" w:firstLine="660"/>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674560" w:rsidRPr="00560ECE" w:rsidRDefault="00674560" w:rsidP="00674560">
            <w:pPr>
              <w:widowControl/>
              <w:autoSpaceDE/>
              <w:autoSpaceDN/>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674560" w:rsidRPr="00560ECE" w:rsidRDefault="00674560" w:rsidP="00674560">
            <w:pPr>
              <w:widowControl/>
              <w:autoSpaceDE/>
              <w:autoSpaceDN/>
              <w:rPr>
                <w:rFonts w:asciiTheme="majorHAnsi" w:eastAsia="Times New Roman" w:hAnsiTheme="majorHAnsi" w:cs="Calibri"/>
                <w:b/>
                <w:bCs/>
                <w:lang w:val="tr-TR" w:eastAsia="tr-TR"/>
              </w:rPr>
            </w:pPr>
          </w:p>
        </w:tc>
      </w:tr>
      <w:tr w:rsidR="00674560" w:rsidRPr="00560ECE" w:rsidTr="00691D8B">
        <w:trPr>
          <w:trHeight w:val="113"/>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4560" w:rsidRPr="00560ECE" w:rsidRDefault="00674560" w:rsidP="00674560">
            <w:pPr>
              <w:widowControl/>
              <w:autoSpaceDE/>
              <w:autoSpaceDN/>
              <w:jc w:val="center"/>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674560" w:rsidRPr="00560ECE" w:rsidRDefault="00674560" w:rsidP="00674560">
            <w:pPr>
              <w:jc w:val="center"/>
              <w:rPr>
                <w:rFonts w:asciiTheme="majorHAnsi" w:eastAsia="Times New Roman" w:hAnsiTheme="majorHAnsi" w:cs="Calibri"/>
                <w:b/>
                <w:bCs/>
                <w:color w:val="000000"/>
              </w:rPr>
            </w:pPr>
            <w:r w:rsidRPr="00560ECE">
              <w:rPr>
                <w:rFonts w:asciiTheme="majorHAnsi" w:hAnsiTheme="majorHAnsi" w:cs="Calibri"/>
                <w:b/>
                <w:bCs/>
                <w:color w:val="000000"/>
              </w:rPr>
              <w:t>25.844.863</w:t>
            </w:r>
          </w:p>
        </w:tc>
      </w:tr>
      <w:tr w:rsidR="00674560" w:rsidRPr="00560ECE" w:rsidTr="00691D8B">
        <w:trPr>
          <w:trHeight w:val="113"/>
          <w:jc w:val="center"/>
        </w:trPr>
        <w:tc>
          <w:tcPr>
            <w:tcW w:w="1602" w:type="dxa"/>
            <w:tcBorders>
              <w:top w:val="nil"/>
              <w:left w:val="nil"/>
              <w:bottom w:val="nil"/>
              <w:right w:val="nil"/>
            </w:tcBorders>
            <w:shd w:val="clear" w:color="auto" w:fill="auto"/>
            <w:noWrap/>
            <w:vAlign w:val="bottom"/>
            <w:hideMark/>
          </w:tcPr>
          <w:p w:rsidR="00674560" w:rsidRPr="00560ECE" w:rsidRDefault="00674560" w:rsidP="00674560">
            <w:pPr>
              <w:widowControl/>
              <w:autoSpaceDE/>
              <w:autoSpaceDN/>
              <w:ind w:firstLineChars="100" w:firstLine="220"/>
              <w:jc w:val="right"/>
              <w:rPr>
                <w:rFonts w:asciiTheme="majorHAnsi" w:eastAsia="Times New Roman" w:hAnsiTheme="majorHAnsi" w:cs="Calibri"/>
                <w:b/>
                <w:bCs/>
                <w:lang w:val="tr-TR" w:eastAsia="tr-TR"/>
              </w:rPr>
            </w:pPr>
          </w:p>
        </w:tc>
        <w:tc>
          <w:tcPr>
            <w:tcW w:w="1580" w:type="dxa"/>
            <w:tcBorders>
              <w:top w:val="nil"/>
              <w:left w:val="nil"/>
              <w:bottom w:val="nil"/>
              <w:right w:val="nil"/>
            </w:tcBorders>
            <w:shd w:val="clear" w:color="auto" w:fill="auto"/>
            <w:noWrap/>
            <w:vAlign w:val="bottom"/>
            <w:hideMark/>
          </w:tcPr>
          <w:p w:rsidR="00674560" w:rsidRPr="00560ECE" w:rsidRDefault="00674560" w:rsidP="00674560">
            <w:pPr>
              <w:widowControl/>
              <w:autoSpaceDE/>
              <w:autoSpaceDN/>
              <w:rPr>
                <w:rFonts w:asciiTheme="majorHAnsi" w:eastAsia="Times New Roman" w:hAnsiTheme="majorHAnsi" w:cs="Times New Roman"/>
                <w:lang w:val="tr-TR" w:eastAsia="tr-TR"/>
              </w:rPr>
            </w:pPr>
          </w:p>
        </w:tc>
        <w:tc>
          <w:tcPr>
            <w:tcW w:w="2240" w:type="dxa"/>
            <w:tcBorders>
              <w:top w:val="nil"/>
              <w:left w:val="nil"/>
              <w:bottom w:val="nil"/>
              <w:right w:val="nil"/>
            </w:tcBorders>
            <w:shd w:val="clear" w:color="auto" w:fill="auto"/>
            <w:noWrap/>
            <w:vAlign w:val="bottom"/>
          </w:tcPr>
          <w:p w:rsidR="00674560" w:rsidRPr="00560ECE" w:rsidRDefault="00674560" w:rsidP="00674560">
            <w:pPr>
              <w:widowControl/>
              <w:autoSpaceDE/>
              <w:autoSpaceDN/>
              <w:rPr>
                <w:rFonts w:asciiTheme="majorHAnsi" w:eastAsia="Times New Roman" w:hAnsiTheme="majorHAnsi" w:cs="Times New Roman"/>
                <w:lang w:val="tr-TR" w:eastAsia="tr-TR"/>
              </w:rPr>
            </w:pPr>
          </w:p>
        </w:tc>
      </w:tr>
      <w:tr w:rsidR="00674560" w:rsidRPr="00560ECE" w:rsidTr="00691D8B">
        <w:trPr>
          <w:trHeight w:val="113"/>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674560" w:rsidRPr="00560ECE" w:rsidRDefault="00674560" w:rsidP="00674560">
            <w:pPr>
              <w:widowControl/>
              <w:autoSpaceDE/>
              <w:autoSpaceDN/>
              <w:jc w:val="center"/>
              <w:rPr>
                <w:rFonts w:asciiTheme="majorHAnsi" w:eastAsia="Times New Roman" w:hAnsiTheme="majorHAnsi" w:cs="Calibri"/>
                <w:b/>
                <w:bCs/>
                <w:lang w:val="tr-TR" w:eastAsia="tr-TR"/>
              </w:rPr>
            </w:pPr>
            <w:r w:rsidRPr="00560ECE">
              <w:rPr>
                <w:rFonts w:asciiTheme="majorHAnsi" w:eastAsia="Times New Roman" w:hAnsiTheme="majorHAnsi"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tcPr>
          <w:p w:rsidR="00674560" w:rsidRPr="00560ECE" w:rsidRDefault="00674560" w:rsidP="00674560">
            <w:pPr>
              <w:jc w:val="center"/>
              <w:rPr>
                <w:rFonts w:asciiTheme="majorHAnsi" w:eastAsia="Times New Roman" w:hAnsiTheme="majorHAnsi" w:cs="Calibri"/>
                <w:b/>
                <w:bCs/>
                <w:color w:val="000000"/>
              </w:rPr>
            </w:pPr>
            <w:r w:rsidRPr="00560ECE">
              <w:rPr>
                <w:rFonts w:asciiTheme="majorHAnsi" w:hAnsiTheme="majorHAnsi" w:cs="Calibri"/>
                <w:b/>
                <w:bCs/>
                <w:color w:val="000000"/>
              </w:rPr>
              <w:t>25.844.863</w:t>
            </w:r>
          </w:p>
        </w:tc>
      </w:tr>
    </w:tbl>
    <w:p w:rsidR="00C1625F" w:rsidRDefault="00C1625F">
      <w:pPr>
        <w:pStyle w:val="GvdeMetni"/>
        <w:spacing w:before="1"/>
        <w:ind w:left="0" w:firstLine="0"/>
        <w:jc w:val="left"/>
        <w:rPr>
          <w:b/>
          <w:sz w:val="32"/>
        </w:rPr>
      </w:pPr>
    </w:p>
    <w:p w:rsidR="00C1625F" w:rsidRDefault="009766CB">
      <w:pPr>
        <w:ind w:left="682"/>
        <w:rPr>
          <w:rFonts w:asciiTheme="majorHAnsi" w:hAnsiTheme="majorHAnsi"/>
        </w:rPr>
      </w:pPr>
      <w:r w:rsidRPr="00674560">
        <w:rPr>
          <w:rFonts w:asciiTheme="majorHAnsi" w:hAnsiTheme="majorHAnsi"/>
        </w:rPr>
        <w:t xml:space="preserve">Satın alınacak LNG miktarı toplam </w:t>
      </w:r>
      <w:r w:rsidR="00674560" w:rsidRPr="00674560">
        <w:rPr>
          <w:rFonts w:asciiTheme="majorHAnsi" w:hAnsiTheme="majorHAnsi" w:cs="Calibri"/>
          <w:b/>
          <w:bCs/>
          <w:color w:val="000000"/>
        </w:rPr>
        <w:t>25.844.863</w:t>
      </w:r>
      <w:r w:rsidRPr="00674560">
        <w:rPr>
          <w:rFonts w:asciiTheme="majorHAnsi" w:hAnsiTheme="majorHAnsi"/>
          <w:b/>
        </w:rPr>
        <w:t xml:space="preserve"> </w:t>
      </w:r>
      <w:proofErr w:type="gramStart"/>
      <w:r w:rsidR="00674560" w:rsidRPr="00674560">
        <w:rPr>
          <w:rFonts w:asciiTheme="majorHAnsi" w:eastAsia="Times New Roman" w:hAnsiTheme="majorHAnsi" w:cs="Calibri"/>
          <w:b/>
          <w:bCs/>
          <w:color w:val="000000"/>
          <w:lang w:val="tr-TR" w:eastAsia="tr-TR"/>
        </w:rPr>
        <w:t>kWh</w:t>
      </w:r>
      <w:r w:rsidR="00674560" w:rsidRPr="00674560">
        <w:rPr>
          <w:rFonts w:asciiTheme="majorHAnsi" w:hAnsiTheme="majorHAnsi"/>
        </w:rPr>
        <w:t xml:space="preserve">  </w:t>
      </w:r>
      <w:r w:rsidRPr="00674560">
        <w:rPr>
          <w:rFonts w:asciiTheme="majorHAnsi" w:hAnsiTheme="majorHAnsi"/>
        </w:rPr>
        <w:t>olacaktır</w:t>
      </w:r>
      <w:proofErr w:type="gramEnd"/>
      <w:r w:rsidRPr="00674560">
        <w:rPr>
          <w:rFonts w:asciiTheme="majorHAnsi" w:hAnsiTheme="majorHAnsi"/>
        </w:rPr>
        <w:t>.</w:t>
      </w:r>
    </w:p>
    <w:p w:rsidR="003706BD" w:rsidRDefault="003706BD">
      <w:pPr>
        <w:ind w:left="682"/>
        <w:rPr>
          <w:rFonts w:asciiTheme="majorHAnsi" w:hAnsiTheme="majorHAnsi"/>
        </w:rPr>
      </w:pPr>
    </w:p>
    <w:p w:rsidR="003706BD" w:rsidRDefault="003706BD">
      <w:pPr>
        <w:ind w:left="682"/>
        <w:rPr>
          <w:rFonts w:asciiTheme="majorHAnsi" w:hAnsiTheme="majorHAnsi"/>
        </w:rPr>
      </w:pPr>
    </w:p>
    <w:p w:rsidR="003706BD" w:rsidRDefault="003706BD">
      <w:pPr>
        <w:ind w:left="682"/>
        <w:rPr>
          <w:rFonts w:asciiTheme="majorHAnsi" w:hAnsiTheme="majorHAnsi"/>
        </w:rPr>
      </w:pPr>
    </w:p>
    <w:p w:rsidR="003706BD" w:rsidRDefault="003706BD">
      <w:pPr>
        <w:ind w:left="682"/>
        <w:rPr>
          <w:rFonts w:asciiTheme="majorHAnsi" w:hAnsiTheme="majorHAnsi"/>
        </w:rPr>
      </w:pPr>
    </w:p>
    <w:p w:rsidR="003706BD" w:rsidRPr="00674560" w:rsidRDefault="003706BD">
      <w:pPr>
        <w:ind w:left="682"/>
        <w:rPr>
          <w:rFonts w:asciiTheme="majorHAnsi" w:hAnsiTheme="majorHAnsi"/>
        </w:rPr>
      </w:pP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lastRenderedPageBreak/>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Default="009766CB">
      <w:pPr>
        <w:pStyle w:val="ListeParagraf"/>
        <w:numPr>
          <w:ilvl w:val="1"/>
          <w:numId w:val="1"/>
        </w:numPr>
        <w:tabs>
          <w:tab w:val="left" w:pos="1264"/>
        </w:tabs>
        <w:spacing w:before="117"/>
        <w:ind w:right="110"/>
      </w:pPr>
      <w:r>
        <w:t>ENERYA, satın alınacak miktarları, ihtiyaca göre değiştirebilir ve YÜKLENİCİ’ye makul</w:t>
      </w:r>
      <w:r>
        <w:rPr>
          <w:spacing w:val="-11"/>
        </w:rPr>
        <w:t xml:space="preserve"> </w:t>
      </w:r>
      <w:r>
        <w:t>sürede</w:t>
      </w:r>
      <w:r>
        <w:rPr>
          <w:spacing w:val="-16"/>
        </w:rPr>
        <w:t xml:space="preserve"> </w:t>
      </w:r>
      <w:r>
        <w:t>bildirir.</w:t>
      </w:r>
      <w:r>
        <w:rPr>
          <w:spacing w:val="16"/>
        </w:rPr>
        <w:t xml:space="preserve"> </w:t>
      </w:r>
      <w:r>
        <w:t>ENERYA</w:t>
      </w:r>
      <w:r>
        <w:rPr>
          <w:spacing w:val="-11"/>
        </w:rPr>
        <w:t xml:space="preserve"> </w:t>
      </w:r>
      <w:r>
        <w:t>herhangi</w:t>
      </w:r>
      <w:r>
        <w:rPr>
          <w:spacing w:val="-13"/>
        </w:rPr>
        <w:t xml:space="preserve"> </w:t>
      </w:r>
      <w:r>
        <w:t>bir</w:t>
      </w:r>
      <w:r>
        <w:rPr>
          <w:spacing w:val="-17"/>
        </w:rPr>
        <w:t xml:space="preserve"> </w:t>
      </w:r>
      <w:r>
        <w:t>sebeple</w:t>
      </w:r>
      <w:r>
        <w:rPr>
          <w:spacing w:val="-20"/>
        </w:rPr>
        <w:t xml:space="preserve"> </w:t>
      </w:r>
      <w:r>
        <w:t>(tesislerinde</w:t>
      </w:r>
      <w:r>
        <w:rPr>
          <w:spacing w:val="-15"/>
        </w:rPr>
        <w:t xml:space="preserve"> </w:t>
      </w:r>
      <w:r>
        <w:t>önemli</w:t>
      </w:r>
      <w:r>
        <w:rPr>
          <w:spacing w:val="-16"/>
        </w:rPr>
        <w:t xml:space="preserve"> </w:t>
      </w:r>
      <w:r>
        <w:t>arıza,</w:t>
      </w:r>
      <w:r>
        <w:rPr>
          <w:spacing w:val="-16"/>
        </w:rPr>
        <w:t xml:space="preserve"> </w:t>
      </w:r>
      <w:r>
        <w:t xml:space="preserve">büyük bakım-onarım, yenileme, doğal afet, vb.) LNG sevkiyatını azaltabilir ve/veya durdurabilir. Bu durumda ENERYA’nın herhangi bir yükümlülüğü olmadığı gibi </w:t>
      </w:r>
      <w:proofErr w:type="gramStart"/>
      <w:r>
        <w:t>YÜKLENİCİ’nin</w:t>
      </w:r>
      <w:proofErr w:type="gramEnd"/>
      <w:r>
        <w:t xml:space="preserve"> ödeme dahil herhangi bir talebi de</w:t>
      </w:r>
      <w:r>
        <w:rPr>
          <w:spacing w:val="-8"/>
        </w:rPr>
        <w:t xml:space="preserve"> </w:t>
      </w:r>
      <w:r>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bookmarkStart w:id="0" w:name="_GoBack"/>
      <w:bookmarkEnd w:id="0"/>
    </w:p>
    <w:p w:rsidR="00C1625F" w:rsidRDefault="009766CB">
      <w:pPr>
        <w:pStyle w:val="ListeParagraf"/>
        <w:numPr>
          <w:ilvl w:val="1"/>
          <w:numId w:val="1"/>
        </w:numPr>
        <w:tabs>
          <w:tab w:val="left" w:pos="1264"/>
        </w:tabs>
        <w:ind w:right="109"/>
      </w:pPr>
      <w:r>
        <w:t xml:space="preserve">LNG nakliyesi yapacak treyler ve tankerlerin “Pi” sertifikası olması gereklidir. Araçlara ait “Pi” sertifikalarının aslı veya noter onaylı sureti ibraz edilecektir (05.06.2006 tarihli Resmi Gazetede Yayınlanan “Taşınabilir Basınçlı Ekipmanlar </w:t>
      </w:r>
      <w:r>
        <w:lastRenderedPageBreak/>
        <w:t>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C1625F">
      <w:pPr>
        <w:jc w:val="both"/>
        <w:sectPr w:rsidR="00C1625F">
          <w:footerReference w:type="default" r:id="rId7"/>
          <w:pgSz w:w="11900" w:h="16840"/>
          <w:pgMar w:top="1340" w:right="1300" w:bottom="1180" w:left="1300" w:header="0" w:footer="988" w:gutter="0"/>
          <w:cols w:space="720"/>
        </w:sectPr>
      </w:pPr>
    </w:p>
    <w:p w:rsidR="00C1625F" w:rsidRDefault="009766CB">
      <w:pPr>
        <w:pStyle w:val="ListeParagraf"/>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C1625F" w:rsidRDefault="009766CB">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C1625F" w:rsidRDefault="009766CB">
      <w:pPr>
        <w:pStyle w:val="GvdeMetni"/>
        <w:spacing w:before="121" w:line="237" w:lineRule="auto"/>
        <w:ind w:left="543" w:right="112" w:firstLine="0"/>
      </w:pPr>
      <w:r>
        <w:rPr>
          <w:u w:val="single"/>
        </w:rPr>
        <w:t>Bu fi</w:t>
      </w:r>
      <w:r>
        <w:t>y</w:t>
      </w:r>
      <w:r>
        <w:rPr>
          <w:u w:val="single"/>
        </w:rPr>
        <w:t>at i</w:t>
      </w:r>
      <w:r>
        <w:t>ç</w:t>
      </w:r>
      <w:r>
        <w:rPr>
          <w:u w:val="single"/>
        </w:rPr>
        <w:t>erisindeki bile</w:t>
      </w:r>
      <w:r>
        <w:t>ş</w:t>
      </w:r>
      <w:r>
        <w:rPr>
          <w:u w:val="single"/>
        </w:rPr>
        <w:t>enlerden, BOTA</w:t>
      </w:r>
      <w:r>
        <w:t>Ş</w:t>
      </w:r>
      <w:r>
        <w:rPr>
          <w:u w:val="single"/>
        </w:rPr>
        <w:t xml:space="preserve"> LNG Birim Fi</w:t>
      </w:r>
      <w:r>
        <w:t>y</w:t>
      </w:r>
      <w:r>
        <w:rPr>
          <w:u w:val="single"/>
        </w:rPr>
        <w:t>atı hari</w:t>
      </w:r>
      <w:r>
        <w:t>ç</w:t>
      </w:r>
      <w:r>
        <w:rPr>
          <w:u w:val="single"/>
        </w:rPr>
        <w:t xml:space="preserve"> di</w:t>
      </w:r>
      <w:r>
        <w:t>ğ</w:t>
      </w:r>
      <w:r>
        <w:rPr>
          <w:u w:val="single"/>
        </w:rPr>
        <w:t>er bile</w:t>
      </w:r>
      <w:r>
        <w:t>ş</w:t>
      </w:r>
      <w:r>
        <w:rPr>
          <w:u w:val="single"/>
        </w:rPr>
        <w:t>enlere</w:t>
      </w:r>
      <w:r>
        <w:t xml:space="preserve"> g</w:t>
      </w:r>
      <w:r>
        <w:rPr>
          <w:u w:val="single"/>
        </w:rPr>
        <w:t>elebilecek fi</w:t>
      </w:r>
      <w:r>
        <w:t>y</w:t>
      </w:r>
      <w:r>
        <w:rPr>
          <w:u w:val="single"/>
        </w:rPr>
        <w:t>at artı</w:t>
      </w:r>
      <w:r>
        <w:t>ş</w:t>
      </w:r>
      <w:r>
        <w:rPr>
          <w:u w:val="single"/>
        </w:rPr>
        <w:t>ı ve</w:t>
      </w:r>
      <w:r>
        <w:t>/</w:t>
      </w:r>
      <w:r>
        <w:rPr>
          <w:u w:val="single"/>
        </w:rPr>
        <w:t>veya azalı</w:t>
      </w:r>
      <w:r>
        <w:t>ş</w:t>
      </w:r>
      <w:r>
        <w:rPr>
          <w:u w:val="single"/>
        </w:rPr>
        <w:t>ı YÜKLENİCİ tarafından hi</w:t>
      </w:r>
      <w:r>
        <w:t>ç</w:t>
      </w:r>
      <w:r>
        <w:rPr>
          <w:u w:val="single"/>
        </w:rPr>
        <w:t xml:space="preserve">bir </w:t>
      </w:r>
      <w:r>
        <w:t>ş</w:t>
      </w:r>
      <w:r>
        <w:rPr>
          <w:u w:val="single"/>
        </w:rPr>
        <w:t>ekilde tale</w:t>
      </w:r>
      <w:r>
        <w:t>p</w:t>
      </w:r>
    </w:p>
    <w:p w:rsidR="00C1625F" w:rsidRDefault="00C1625F">
      <w:pPr>
        <w:spacing w:line="237" w:lineRule="auto"/>
        <w:sectPr w:rsidR="00C1625F">
          <w:pgSz w:w="11900" w:h="16840"/>
          <w:pgMar w:top="1340" w:right="1300" w:bottom="1180" w:left="1300" w:header="0" w:footer="988" w:gutter="0"/>
          <w:cols w:space="720"/>
        </w:sectPr>
      </w:pPr>
    </w:p>
    <w:p w:rsidR="00C1625F" w:rsidRDefault="009766CB">
      <w:pPr>
        <w:pStyle w:val="GvdeMetni"/>
        <w:spacing w:before="78"/>
        <w:ind w:left="543" w:right="111" w:firstLine="0"/>
      </w:pPr>
      <w:proofErr w:type="gramStart"/>
      <w:r>
        <w:rPr>
          <w:u w:val="single"/>
        </w:rPr>
        <w:lastRenderedPageBreak/>
        <w:t>edilme</w:t>
      </w:r>
      <w:r>
        <w:t>y</w:t>
      </w:r>
      <w:r>
        <w:rPr>
          <w:u w:val="single"/>
        </w:rPr>
        <w:t>ecektir</w:t>
      </w:r>
      <w:proofErr w:type="gramEnd"/>
      <w:r>
        <w:rPr>
          <w:u w:val="single"/>
        </w:rPr>
        <w:t>.</w:t>
      </w:r>
      <w:r>
        <w:t xml:space="preserve"> BOTAŞ LNG Birim </w:t>
      </w:r>
      <w:proofErr w:type="gramStart"/>
      <w:r>
        <w:t>Fiyatı’nın</w:t>
      </w:r>
      <w:proofErr w:type="gramEnd"/>
      <w:r>
        <w:t xml:space="preserve"> değişmesi durumunda ise değişimin gerçekleştiği tarihten itibaren aşağıdaki formülle birim fiyat değişikliği gerçekleştirilecektir:</w:t>
      </w:r>
    </w:p>
    <w:p w:rsidR="00C1625F" w:rsidRDefault="009766CB">
      <w:pPr>
        <w:pStyle w:val="GvdeMetni"/>
        <w:spacing w:before="122"/>
        <w:ind w:left="543" w:firstLine="0"/>
      </w:pPr>
      <w:r>
        <w:rPr>
          <w:position w:val="2"/>
        </w:rPr>
        <w:t>Güncel satış fiyatı (kWh) = İhale Sonuç Fiyatı (kWh) + (BOTAŞ</w:t>
      </w:r>
      <w:r>
        <w:rPr>
          <w:position w:val="2"/>
          <w:vertAlign w:val="subscript"/>
        </w:rPr>
        <w:t>1</w:t>
      </w:r>
      <w:r>
        <w:rPr>
          <w:position w:val="2"/>
        </w:rPr>
        <w:t>-BOTAŞ</w:t>
      </w:r>
      <w:r>
        <w:rPr>
          <w:position w:val="2"/>
          <w:vertAlign w:val="subscript"/>
        </w:rPr>
        <w:t>0</w:t>
      </w:r>
      <w:r>
        <w:rPr>
          <w:position w:val="2"/>
        </w:rPr>
        <w:t>)</w:t>
      </w:r>
    </w:p>
    <w:p w:rsidR="00C1625F" w:rsidRDefault="009766CB">
      <w:pPr>
        <w:pStyle w:val="GvdeMetni"/>
        <w:spacing w:before="100" w:line="235" w:lineRule="auto"/>
        <w:ind w:left="1248" w:right="108" w:firstLine="0"/>
      </w:pPr>
      <w:r>
        <w:rPr>
          <w:position w:val="2"/>
        </w:rPr>
        <w:t>BOTAŞ</w:t>
      </w:r>
      <w:r>
        <w:rPr>
          <w:position w:val="2"/>
          <w:vertAlign w:val="subscript"/>
        </w:rPr>
        <w:t>0</w:t>
      </w:r>
      <w:r>
        <w:rPr>
          <w:position w:val="2"/>
        </w:rPr>
        <w:t xml:space="preserve">: İhale tarihinde geçerli olan BOTAŞ LNG Birim Fiyatı (kWh), BOTAŞ internet </w:t>
      </w:r>
      <w:r>
        <w:t>sitesinde açıklanmış olan BOTAŞ ile Sıvılaştırılmış Doğal Gaz (LNG) Alım Satım Sözleşmesi İmzalamış LNG Müşterilerine Uygulanan Toptan Satış Fiyat Tarifesi (ÖTV ve KDV Hariç Depolama Bedeli Dahil) bedelidir.</w:t>
      </w:r>
    </w:p>
    <w:p w:rsidR="00C1625F" w:rsidRDefault="009766CB">
      <w:pPr>
        <w:pStyle w:val="GvdeMetni"/>
        <w:spacing w:before="121" w:line="235" w:lineRule="auto"/>
        <w:ind w:left="1248" w:right="113" w:firstLine="0"/>
      </w:pPr>
      <w:r>
        <w:rPr>
          <w:position w:val="2"/>
        </w:rPr>
        <w:t>BOTAŞ</w:t>
      </w:r>
      <w:r>
        <w:rPr>
          <w:position w:val="2"/>
          <w:vertAlign w:val="subscript"/>
        </w:rPr>
        <w:t>1</w:t>
      </w:r>
      <w:r>
        <w:rPr>
          <w:position w:val="2"/>
        </w:rPr>
        <w:t xml:space="preserve">: Fiyat değişim tarihinde geçerli olan BOTAŞ LNG Birim Fiyatı (kWh), BOTAŞ </w:t>
      </w:r>
      <w:r>
        <w:t>internet sitesinde açıklanmış olan BOTAŞ ile Sıvılaştırılmış Doğal Gaz (LNG) Alım Satım</w:t>
      </w:r>
      <w:r>
        <w:rPr>
          <w:spacing w:val="-9"/>
        </w:rPr>
        <w:t xml:space="preserve"> </w:t>
      </w:r>
      <w:r>
        <w:t>Sözleşmesi</w:t>
      </w:r>
      <w:r>
        <w:rPr>
          <w:spacing w:val="-6"/>
        </w:rPr>
        <w:t xml:space="preserve"> </w:t>
      </w:r>
      <w:r>
        <w:t>İmzalamış</w:t>
      </w:r>
      <w:r>
        <w:rPr>
          <w:spacing w:val="-6"/>
        </w:rPr>
        <w:t xml:space="preserve"> </w:t>
      </w:r>
      <w:r>
        <w:t>LNG</w:t>
      </w:r>
      <w:r>
        <w:rPr>
          <w:spacing w:val="-12"/>
        </w:rPr>
        <w:t xml:space="preserve"> </w:t>
      </w:r>
      <w:r>
        <w:t>Müşterilerine</w:t>
      </w:r>
      <w:r>
        <w:rPr>
          <w:spacing w:val="-10"/>
        </w:rPr>
        <w:t xml:space="preserve"> </w:t>
      </w:r>
      <w:r>
        <w:t>Uygulanan</w:t>
      </w:r>
      <w:r>
        <w:rPr>
          <w:spacing w:val="-5"/>
        </w:rPr>
        <w:t xml:space="preserve"> </w:t>
      </w:r>
      <w:r>
        <w:t>Toptan</w:t>
      </w:r>
      <w:r>
        <w:rPr>
          <w:spacing w:val="-6"/>
        </w:rPr>
        <w:t xml:space="preserve"> </w:t>
      </w:r>
      <w:r>
        <w:t>Satış</w:t>
      </w:r>
      <w:r>
        <w:rPr>
          <w:spacing w:val="-12"/>
        </w:rPr>
        <w:t xml:space="preserve"> </w:t>
      </w:r>
      <w:r>
        <w:t>Fiyat</w:t>
      </w:r>
      <w:r>
        <w:rPr>
          <w:spacing w:val="-5"/>
        </w:rPr>
        <w:t xml:space="preserve"> </w:t>
      </w:r>
      <w:r>
        <w:t>Tarifesi (ÖTV ve KDV Hariç Depolama Bedeli Dahil)</w:t>
      </w:r>
      <w:r>
        <w:rPr>
          <w:spacing w:val="-5"/>
        </w:rPr>
        <w:t xml:space="preserve"> </w:t>
      </w:r>
      <w:r>
        <w:t>bedelidir.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CEZALAR</w:t>
      </w:r>
    </w:p>
    <w:p w:rsidR="00C1625F" w:rsidRDefault="009766CB">
      <w:pPr>
        <w:pStyle w:val="GvdeMetni"/>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BD" w:rsidRDefault="00051BBD">
      <w:r>
        <w:separator/>
      </w:r>
    </w:p>
  </w:endnote>
  <w:endnote w:type="continuationSeparator" w:id="0">
    <w:p w:rsidR="00051BBD" w:rsidRDefault="0005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3706BD">
                            <w:rPr>
                              <w:b/>
                              <w:noProof/>
                              <w:sz w:val="18"/>
                            </w:rPr>
                            <w:t>1</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3706BD">
                      <w:rPr>
                        <w:b/>
                        <w:noProof/>
                        <w:sz w:val="18"/>
                      </w:rPr>
                      <w:t>1</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BD" w:rsidRDefault="00051BBD">
      <w:r>
        <w:separator/>
      </w:r>
    </w:p>
  </w:footnote>
  <w:footnote w:type="continuationSeparator" w:id="0">
    <w:p w:rsidR="00051BBD" w:rsidRDefault="00051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51BBD"/>
    <w:rsid w:val="00105826"/>
    <w:rsid w:val="0014140D"/>
    <w:rsid w:val="001539B7"/>
    <w:rsid w:val="00180AE8"/>
    <w:rsid w:val="00256C40"/>
    <w:rsid w:val="00277F62"/>
    <w:rsid w:val="002803D7"/>
    <w:rsid w:val="002C1D82"/>
    <w:rsid w:val="002C4E0E"/>
    <w:rsid w:val="002E0611"/>
    <w:rsid w:val="003175C1"/>
    <w:rsid w:val="00341285"/>
    <w:rsid w:val="003706BD"/>
    <w:rsid w:val="003977B0"/>
    <w:rsid w:val="003E2FBC"/>
    <w:rsid w:val="00442B61"/>
    <w:rsid w:val="004711B5"/>
    <w:rsid w:val="004B7DEB"/>
    <w:rsid w:val="00560ECE"/>
    <w:rsid w:val="00607954"/>
    <w:rsid w:val="00674560"/>
    <w:rsid w:val="00691D8B"/>
    <w:rsid w:val="00722170"/>
    <w:rsid w:val="00731318"/>
    <w:rsid w:val="007E22A5"/>
    <w:rsid w:val="007F538A"/>
    <w:rsid w:val="0087416A"/>
    <w:rsid w:val="00891BA4"/>
    <w:rsid w:val="008A18D1"/>
    <w:rsid w:val="008A4065"/>
    <w:rsid w:val="008C0F4B"/>
    <w:rsid w:val="008E0BB1"/>
    <w:rsid w:val="009336C3"/>
    <w:rsid w:val="009766CB"/>
    <w:rsid w:val="009C78A2"/>
    <w:rsid w:val="00A044F1"/>
    <w:rsid w:val="00A1283F"/>
    <w:rsid w:val="00A16689"/>
    <w:rsid w:val="00B270DE"/>
    <w:rsid w:val="00B565D8"/>
    <w:rsid w:val="00B572FB"/>
    <w:rsid w:val="00BC254D"/>
    <w:rsid w:val="00C1625F"/>
    <w:rsid w:val="00CF0077"/>
    <w:rsid w:val="00D45518"/>
    <w:rsid w:val="00E33B43"/>
    <w:rsid w:val="00E62BF1"/>
    <w:rsid w:val="00EB1549"/>
    <w:rsid w:val="00EB4A25"/>
    <w:rsid w:val="00EF7C0A"/>
    <w:rsid w:val="00F45089"/>
    <w:rsid w:val="00F455BF"/>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2EB6A"/>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691D8B"/>
    <w:pPr>
      <w:tabs>
        <w:tab w:val="center" w:pos="4536"/>
        <w:tab w:val="right" w:pos="9072"/>
      </w:tabs>
    </w:pPr>
  </w:style>
  <w:style w:type="character" w:customStyle="1" w:styleId="stBilgiChar">
    <w:name w:val="Üst Bilgi Char"/>
    <w:basedOn w:val="VarsaylanParagrafYazTipi"/>
    <w:link w:val="stBilgi"/>
    <w:uiPriority w:val="99"/>
    <w:rsid w:val="00691D8B"/>
    <w:rPr>
      <w:rFonts w:ascii="Cambria" w:eastAsia="Cambria" w:hAnsi="Cambria" w:cs="Cambria"/>
    </w:rPr>
  </w:style>
  <w:style w:type="paragraph" w:styleId="AltBilgi">
    <w:name w:val="footer"/>
    <w:basedOn w:val="Normal"/>
    <w:link w:val="AltBilgiChar"/>
    <w:uiPriority w:val="99"/>
    <w:unhideWhenUsed/>
    <w:rsid w:val="00691D8B"/>
    <w:pPr>
      <w:tabs>
        <w:tab w:val="center" w:pos="4536"/>
        <w:tab w:val="right" w:pos="9072"/>
      </w:tabs>
    </w:pPr>
  </w:style>
  <w:style w:type="character" w:customStyle="1" w:styleId="AltBilgiChar">
    <w:name w:val="Alt Bilgi Char"/>
    <w:basedOn w:val="VarsaylanParagrafYazTipi"/>
    <w:link w:val="AltBilgi"/>
    <w:uiPriority w:val="99"/>
    <w:rsid w:val="00691D8B"/>
    <w:rPr>
      <w:rFonts w:ascii="Cambria" w:eastAsia="Cambria" w:hAnsi="Cambria" w:cs="Cambria"/>
    </w:rPr>
  </w:style>
  <w:style w:type="character" w:styleId="YerTutucuMetni">
    <w:name w:val="Placeholder Text"/>
    <w:basedOn w:val="VarsaylanParagrafYazTipi"/>
    <w:uiPriority w:val="99"/>
    <w:semiHidden/>
    <w:rsid w:val="00674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61411173">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36924812">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68406133">
      <w:bodyDiv w:val="1"/>
      <w:marLeft w:val="0"/>
      <w:marRight w:val="0"/>
      <w:marTop w:val="0"/>
      <w:marBottom w:val="0"/>
      <w:divBdr>
        <w:top w:val="none" w:sz="0" w:space="0" w:color="auto"/>
        <w:left w:val="none" w:sz="0" w:space="0" w:color="auto"/>
        <w:bottom w:val="none" w:sz="0" w:space="0" w:color="auto"/>
        <w:right w:val="none" w:sz="0" w:space="0" w:color="auto"/>
      </w:divBdr>
    </w:div>
    <w:div w:id="475072038">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097092937">
      <w:bodyDiv w:val="1"/>
      <w:marLeft w:val="0"/>
      <w:marRight w:val="0"/>
      <w:marTop w:val="0"/>
      <w:marBottom w:val="0"/>
      <w:divBdr>
        <w:top w:val="none" w:sz="0" w:space="0" w:color="auto"/>
        <w:left w:val="none" w:sz="0" w:space="0" w:color="auto"/>
        <w:bottom w:val="none" w:sz="0" w:space="0" w:color="auto"/>
        <w:right w:val="none" w:sz="0" w:space="0" w:color="auto"/>
      </w:divBdr>
    </w:div>
    <w:div w:id="1365404617">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1788</Words>
  <Characters>10192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Şükrü Eröksüz</dc:creator>
  <cp:lastModifiedBy>Şükrü Eröksüz</cp:lastModifiedBy>
  <cp:revision>8</cp:revision>
  <dcterms:created xsi:type="dcterms:W3CDTF">2022-05-23T08:59:00Z</dcterms:created>
  <dcterms:modified xsi:type="dcterms:W3CDTF">2022-05-23T15:04:00Z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