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C" w:rsidRDefault="005A432C">
      <w:pPr>
        <w:pStyle w:val="Balk1"/>
        <w:spacing w:before="78"/>
        <w:ind w:left="466" w:right="441" w:firstLine="139"/>
      </w:pPr>
    </w:p>
    <w:p w:rsidR="00C1625F" w:rsidRDefault="000A00F8" w:rsidP="000A00F8">
      <w:pPr>
        <w:pStyle w:val="Balk1"/>
        <w:spacing w:before="78"/>
        <w:ind w:left="466" w:right="441" w:firstLine="254"/>
      </w:pPr>
      <w:r>
        <w:t>ENERYA KARAMAN GAZ DAĞITIM A.Ş.’YE AİT LNG UYDU İSTASYON SAHALARINDAKİ LNG (SIVILAŞTIRILMIŞ DOĞAL GAZ) SATIN 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Bu Teknik Şartname; Enerya K</w:t>
      </w:r>
      <w:r w:rsidR="000A00F8">
        <w:t>araman</w:t>
      </w:r>
      <w:r>
        <w:t xml:space="preserve"> Gaz Dağıtım </w:t>
      </w:r>
      <w:proofErr w:type="gramStart"/>
      <w:r>
        <w:t>A.Ş.’nin</w:t>
      </w:r>
      <w:proofErr w:type="gramEnd"/>
      <w:r>
        <w:t xml:space="preserve"> (bundan böyle ENERYA olarak anılacaktır) doğal gaz dağıtım lisansı kapsamında, teslim noktası </w:t>
      </w:r>
      <w:r w:rsidR="000A00F8">
        <w:rPr>
          <w:color w:val="000000" w:themeColor="text1"/>
        </w:rPr>
        <w:t>Ermenek</w:t>
      </w:r>
      <w:r w:rsidR="00FB6C9A" w:rsidRPr="00731318">
        <w:rPr>
          <w:color w:val="000000" w:themeColor="text1"/>
        </w:rPr>
        <w:t xml:space="preserve">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w:t>
      </w:r>
      <w:r w:rsidR="007E230F">
        <w:t>5</w:t>
      </w:r>
      <w:r w:rsidRPr="00B270DE">
        <w:t xml:space="preserve"> </w:t>
      </w:r>
      <w:r w:rsidR="007E22A5" w:rsidRPr="00B270DE">
        <w:t>Temmuz</w:t>
      </w:r>
      <w:r w:rsidRPr="00B270DE">
        <w:t>-</w:t>
      </w:r>
      <w:r w:rsidR="00E33B43">
        <w:t>Aralık, 202</w:t>
      </w:r>
      <w:r w:rsidR="007E230F">
        <w:t>6</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5301" w:type="dxa"/>
        <w:jc w:val="center"/>
        <w:tblCellMar>
          <w:left w:w="70" w:type="dxa"/>
          <w:right w:w="70" w:type="dxa"/>
        </w:tblCellMar>
        <w:tblLook w:val="04A0" w:firstRow="1" w:lastRow="0" w:firstColumn="1" w:lastColumn="0" w:noHBand="0" w:noVBand="1"/>
      </w:tblPr>
      <w:tblGrid>
        <w:gridCol w:w="1602"/>
        <w:gridCol w:w="1580"/>
        <w:gridCol w:w="2119"/>
      </w:tblGrid>
      <w:tr w:rsidR="00CC74E3" w:rsidRPr="003E2FBC" w:rsidTr="00795F76">
        <w:trPr>
          <w:trHeight w:val="345"/>
          <w:jc w:val="center"/>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C74E3" w:rsidRPr="003E2FBC" w:rsidRDefault="00CC74E3" w:rsidP="00795F76">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C74E3" w:rsidRPr="003E2FBC" w:rsidRDefault="00CC74E3" w:rsidP="00795F76">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119" w:type="dxa"/>
            <w:tcBorders>
              <w:top w:val="single" w:sz="8" w:space="0" w:color="auto"/>
              <w:left w:val="single" w:sz="4" w:space="0" w:color="auto"/>
              <w:bottom w:val="nil"/>
              <w:right w:val="single" w:sz="8" w:space="0" w:color="auto"/>
            </w:tcBorders>
            <w:shd w:val="clear" w:color="auto" w:fill="auto"/>
            <w:noWrap/>
            <w:vAlign w:val="center"/>
            <w:hideMark/>
          </w:tcPr>
          <w:p w:rsidR="00CC74E3" w:rsidRPr="003E2FBC" w:rsidRDefault="00CC74E3" w:rsidP="00795F76">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CC74E3" w:rsidRPr="003E2FBC" w:rsidTr="00795F76">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CC74E3" w:rsidRPr="003E2FBC" w:rsidRDefault="00CC74E3" w:rsidP="00795F76">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4" w:space="0" w:color="auto"/>
            </w:tcBorders>
            <w:vAlign w:val="center"/>
            <w:hideMark/>
          </w:tcPr>
          <w:p w:rsidR="00CC74E3" w:rsidRPr="003E2FBC" w:rsidRDefault="00CC74E3" w:rsidP="00795F76">
            <w:pPr>
              <w:widowControl/>
              <w:autoSpaceDE/>
              <w:autoSpaceDN/>
              <w:rPr>
                <w:rFonts w:eastAsia="Times New Roman" w:cs="Calibri"/>
                <w:b/>
                <w:bCs/>
                <w:color w:val="000000"/>
                <w:lang w:val="tr-TR" w:eastAsia="tr-TR"/>
              </w:rPr>
            </w:pPr>
          </w:p>
        </w:tc>
        <w:tc>
          <w:tcPr>
            <w:tcW w:w="2119" w:type="dxa"/>
            <w:tcBorders>
              <w:top w:val="nil"/>
              <w:left w:val="single" w:sz="4" w:space="0" w:color="auto"/>
              <w:bottom w:val="single" w:sz="8" w:space="0" w:color="auto"/>
              <w:right w:val="single" w:sz="8" w:space="0" w:color="auto"/>
            </w:tcBorders>
            <w:shd w:val="clear" w:color="auto" w:fill="auto"/>
            <w:noWrap/>
            <w:hideMark/>
          </w:tcPr>
          <w:p w:rsidR="00CC74E3" w:rsidRPr="003E2FBC" w:rsidRDefault="00CC74E3" w:rsidP="00795F76">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ERMENEK</w:t>
            </w:r>
          </w:p>
        </w:tc>
      </w:tr>
      <w:tr w:rsidR="00CC74E3" w:rsidRPr="003E2FBC" w:rsidTr="00795F76">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CC74E3" w:rsidRPr="003E2FBC" w:rsidRDefault="00CC74E3" w:rsidP="00795F76">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4" w:space="0" w:color="auto"/>
            </w:tcBorders>
            <w:vAlign w:val="center"/>
            <w:hideMark/>
          </w:tcPr>
          <w:p w:rsidR="00CC74E3" w:rsidRPr="003E2FBC" w:rsidRDefault="00CC74E3" w:rsidP="00795F76">
            <w:pPr>
              <w:widowControl/>
              <w:autoSpaceDE/>
              <w:autoSpaceDN/>
              <w:rPr>
                <w:rFonts w:eastAsia="Times New Roman" w:cs="Calibri"/>
                <w:b/>
                <w:bCs/>
                <w:color w:val="000000"/>
                <w:lang w:val="tr-TR" w:eastAsia="tr-TR"/>
              </w:rPr>
            </w:pPr>
          </w:p>
        </w:tc>
        <w:tc>
          <w:tcPr>
            <w:tcW w:w="2119" w:type="dxa"/>
            <w:tcBorders>
              <w:top w:val="nil"/>
              <w:left w:val="single" w:sz="4"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798.322</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820.823</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978.991</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2.718.741</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6.400.047</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9.295.510</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4" w:space="0" w:color="auto"/>
            </w:tcBorders>
            <w:shd w:val="clear" w:color="000000" w:fill="DDEBF7"/>
            <w:noWrap/>
            <w:vAlign w:val="center"/>
            <w:hideMark/>
          </w:tcPr>
          <w:p w:rsidR="00CC74E3" w:rsidRPr="003E2FBC" w:rsidRDefault="00CC74E3" w:rsidP="00795F76">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119" w:type="dxa"/>
            <w:tcBorders>
              <w:top w:val="nil"/>
              <w:left w:val="single" w:sz="4" w:space="0" w:color="auto"/>
              <w:bottom w:val="single" w:sz="8" w:space="0" w:color="auto"/>
              <w:right w:val="single" w:sz="8" w:space="0" w:color="auto"/>
            </w:tcBorders>
            <w:shd w:val="clear" w:color="000000" w:fill="DDEBF7"/>
            <w:noWrap/>
          </w:tcPr>
          <w:p w:rsidR="00CC74E3" w:rsidRPr="00303304" w:rsidRDefault="00CC74E3" w:rsidP="00795F76">
            <w:pPr>
              <w:jc w:val="center"/>
              <w:rPr>
                <w:b/>
              </w:rPr>
            </w:pPr>
            <w:r w:rsidRPr="00303304">
              <w:rPr>
                <w:b/>
              </w:rPr>
              <w:t>21.012.435</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4" w:space="0" w:color="auto"/>
            </w:tcBorders>
            <w:shd w:val="clear" w:color="000000" w:fill="FFFFFF"/>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10.158.476</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9.330.152</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8.530.165</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4.546.280</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1.966.151</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119" w:type="dxa"/>
            <w:tcBorders>
              <w:top w:val="nil"/>
              <w:left w:val="single" w:sz="4" w:space="0" w:color="auto"/>
              <w:bottom w:val="single" w:sz="8" w:space="0" w:color="auto"/>
              <w:right w:val="single" w:sz="4" w:space="0" w:color="auto"/>
            </w:tcBorders>
            <w:shd w:val="clear" w:color="auto" w:fill="auto"/>
            <w:noWrap/>
          </w:tcPr>
          <w:p w:rsidR="00CC74E3" w:rsidRPr="00AA497F" w:rsidRDefault="00CC74E3" w:rsidP="00795F76">
            <w:pPr>
              <w:jc w:val="center"/>
            </w:pPr>
            <w:r w:rsidRPr="00AA497F">
              <w:t>883.917</w:t>
            </w:r>
          </w:p>
        </w:tc>
      </w:tr>
      <w:tr w:rsidR="00CC74E3" w:rsidRPr="003E2FBC" w:rsidTr="00795F76">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4" w:space="0" w:color="auto"/>
            </w:tcBorders>
            <w:shd w:val="clear" w:color="000000" w:fill="DDEBF7"/>
            <w:noWrap/>
            <w:vAlign w:val="center"/>
            <w:hideMark/>
          </w:tcPr>
          <w:p w:rsidR="00CC74E3" w:rsidRPr="003E2FBC" w:rsidRDefault="00CC74E3" w:rsidP="00795F76">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119" w:type="dxa"/>
            <w:tcBorders>
              <w:top w:val="nil"/>
              <w:left w:val="single" w:sz="4" w:space="0" w:color="auto"/>
              <w:bottom w:val="single" w:sz="8" w:space="0" w:color="auto"/>
              <w:right w:val="single" w:sz="8" w:space="0" w:color="auto"/>
            </w:tcBorders>
            <w:shd w:val="clear" w:color="000000" w:fill="DDEBF7"/>
            <w:noWrap/>
          </w:tcPr>
          <w:p w:rsidR="00CC74E3" w:rsidRPr="00303304" w:rsidRDefault="00CC74E3" w:rsidP="00795F76">
            <w:pPr>
              <w:jc w:val="center"/>
              <w:rPr>
                <w:b/>
              </w:rPr>
            </w:pPr>
            <w:r w:rsidRPr="00303304">
              <w:rPr>
                <w:b/>
              </w:rPr>
              <w:t>35.415.143</w:t>
            </w:r>
          </w:p>
        </w:tc>
      </w:tr>
      <w:tr w:rsidR="00CC74E3" w:rsidRPr="003E2FBC" w:rsidTr="00795F76">
        <w:trPr>
          <w:trHeight w:val="180"/>
          <w:jc w:val="center"/>
        </w:trPr>
        <w:tc>
          <w:tcPr>
            <w:tcW w:w="1602" w:type="dxa"/>
            <w:tcBorders>
              <w:top w:val="nil"/>
              <w:left w:val="nil"/>
              <w:bottom w:val="single" w:sz="8" w:space="0" w:color="auto"/>
              <w:right w:val="nil"/>
            </w:tcBorders>
            <w:shd w:val="clear" w:color="auto" w:fill="auto"/>
            <w:noWrap/>
            <w:vAlign w:val="center"/>
            <w:hideMark/>
          </w:tcPr>
          <w:p w:rsidR="00CC74E3" w:rsidRPr="003E2FBC" w:rsidRDefault="00CC74E3" w:rsidP="00795F76">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119" w:type="dxa"/>
            <w:tcBorders>
              <w:top w:val="nil"/>
              <w:left w:val="single" w:sz="4" w:space="0" w:color="auto"/>
              <w:bottom w:val="single" w:sz="8" w:space="0" w:color="auto"/>
              <w:right w:val="nil"/>
            </w:tcBorders>
            <w:shd w:val="clear" w:color="auto" w:fill="auto"/>
            <w:noWrap/>
            <w:vAlign w:val="center"/>
          </w:tcPr>
          <w:p w:rsidR="00CC74E3" w:rsidRPr="003E2FBC" w:rsidRDefault="00CC74E3" w:rsidP="00795F76">
            <w:pPr>
              <w:widowControl/>
              <w:autoSpaceDE/>
              <w:autoSpaceDN/>
              <w:rPr>
                <w:rFonts w:eastAsia="Times New Roman" w:cs="Calibri"/>
                <w:b/>
                <w:bCs/>
                <w:lang w:val="tr-TR" w:eastAsia="tr-TR"/>
              </w:rPr>
            </w:pPr>
          </w:p>
        </w:tc>
      </w:tr>
      <w:tr w:rsidR="00CC74E3" w:rsidRPr="003E2FBC" w:rsidTr="00795F76">
        <w:trPr>
          <w:trHeight w:val="330"/>
          <w:jc w:val="center"/>
        </w:trPr>
        <w:tc>
          <w:tcPr>
            <w:tcW w:w="318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C74E3" w:rsidRPr="003E2FBC" w:rsidRDefault="00CC74E3" w:rsidP="00795F76">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119" w:type="dxa"/>
            <w:tcBorders>
              <w:top w:val="nil"/>
              <w:left w:val="single" w:sz="4" w:space="0" w:color="auto"/>
              <w:bottom w:val="single" w:sz="8" w:space="0" w:color="auto"/>
              <w:right w:val="single" w:sz="8" w:space="0" w:color="auto"/>
            </w:tcBorders>
            <w:shd w:val="clear" w:color="auto" w:fill="auto"/>
            <w:noWrap/>
            <w:vAlign w:val="center"/>
          </w:tcPr>
          <w:p w:rsidR="00CC74E3" w:rsidRPr="003E2FBC" w:rsidRDefault="00CC74E3" w:rsidP="00795F76">
            <w:pPr>
              <w:jc w:val="center"/>
              <w:rPr>
                <w:rFonts w:eastAsia="Times New Roman" w:cs="Calibri"/>
                <w:b/>
                <w:bCs/>
                <w:lang w:val="tr-TR" w:eastAsia="tr-TR"/>
              </w:rPr>
            </w:pPr>
            <w:r w:rsidRPr="00303304">
              <w:rPr>
                <w:rFonts w:eastAsia="Times New Roman" w:cs="Calibri"/>
                <w:b/>
                <w:bCs/>
                <w:lang w:val="tr-TR" w:eastAsia="tr-TR"/>
              </w:rPr>
              <w:t>56.427.578</w:t>
            </w:r>
          </w:p>
        </w:tc>
      </w:tr>
      <w:tr w:rsidR="00CC74E3" w:rsidRPr="003E2FBC" w:rsidTr="00795F76">
        <w:trPr>
          <w:trHeight w:val="165"/>
          <w:jc w:val="center"/>
        </w:trPr>
        <w:tc>
          <w:tcPr>
            <w:tcW w:w="1602" w:type="dxa"/>
            <w:tcBorders>
              <w:top w:val="nil"/>
              <w:left w:val="nil"/>
              <w:bottom w:val="nil"/>
              <w:right w:val="nil"/>
            </w:tcBorders>
            <w:shd w:val="clear" w:color="auto" w:fill="auto"/>
            <w:noWrap/>
            <w:vAlign w:val="bottom"/>
            <w:hideMark/>
          </w:tcPr>
          <w:p w:rsidR="00CC74E3" w:rsidRPr="003E2FBC" w:rsidRDefault="00CC74E3" w:rsidP="00795F76">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single" w:sz="4" w:space="0" w:color="auto"/>
            </w:tcBorders>
            <w:shd w:val="clear" w:color="auto" w:fill="auto"/>
            <w:noWrap/>
            <w:vAlign w:val="bottom"/>
            <w:hideMark/>
          </w:tcPr>
          <w:p w:rsidR="00CC74E3" w:rsidRPr="003E2FBC" w:rsidRDefault="00CC74E3" w:rsidP="00795F76">
            <w:pPr>
              <w:widowControl/>
              <w:autoSpaceDE/>
              <w:autoSpaceDN/>
              <w:rPr>
                <w:rFonts w:ascii="Times New Roman" w:eastAsia="Times New Roman" w:hAnsi="Times New Roman" w:cs="Times New Roman"/>
                <w:sz w:val="20"/>
                <w:szCs w:val="20"/>
                <w:lang w:val="tr-TR" w:eastAsia="tr-TR"/>
              </w:rPr>
            </w:pPr>
          </w:p>
        </w:tc>
        <w:tc>
          <w:tcPr>
            <w:tcW w:w="2119" w:type="dxa"/>
            <w:tcBorders>
              <w:top w:val="nil"/>
              <w:left w:val="single" w:sz="4" w:space="0" w:color="auto"/>
              <w:bottom w:val="nil"/>
              <w:right w:val="nil"/>
            </w:tcBorders>
            <w:shd w:val="clear" w:color="auto" w:fill="auto"/>
            <w:noWrap/>
            <w:vAlign w:val="bottom"/>
            <w:hideMark/>
          </w:tcPr>
          <w:p w:rsidR="00CC74E3" w:rsidRPr="003E2FBC" w:rsidRDefault="00CC74E3" w:rsidP="00795F76">
            <w:pPr>
              <w:widowControl/>
              <w:autoSpaceDE/>
              <w:autoSpaceDN/>
              <w:rPr>
                <w:rFonts w:ascii="Times New Roman" w:eastAsia="Times New Roman" w:hAnsi="Times New Roman" w:cs="Times New Roman"/>
                <w:sz w:val="20"/>
                <w:szCs w:val="20"/>
                <w:lang w:val="tr-TR" w:eastAsia="tr-TR"/>
              </w:rPr>
            </w:pPr>
          </w:p>
        </w:tc>
      </w:tr>
      <w:tr w:rsidR="00CC74E3" w:rsidRPr="003E2FBC" w:rsidTr="00795F76">
        <w:trPr>
          <w:trHeight w:val="330"/>
          <w:jc w:val="center"/>
        </w:trPr>
        <w:tc>
          <w:tcPr>
            <w:tcW w:w="3182" w:type="dxa"/>
            <w:gridSpan w:val="2"/>
            <w:tcBorders>
              <w:top w:val="single" w:sz="8" w:space="0" w:color="auto"/>
              <w:left w:val="single" w:sz="8" w:space="0" w:color="auto"/>
              <w:bottom w:val="single" w:sz="8" w:space="0" w:color="auto"/>
              <w:right w:val="single" w:sz="4" w:space="0" w:color="auto"/>
            </w:tcBorders>
            <w:shd w:val="clear" w:color="000000" w:fill="DDEBF7"/>
            <w:noWrap/>
            <w:vAlign w:val="center"/>
            <w:hideMark/>
          </w:tcPr>
          <w:p w:rsidR="00CC74E3" w:rsidRPr="003E2FBC" w:rsidRDefault="00CC74E3" w:rsidP="00795F76">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119" w:type="dxa"/>
            <w:tcBorders>
              <w:top w:val="single" w:sz="8" w:space="0" w:color="auto"/>
              <w:left w:val="single" w:sz="4" w:space="0" w:color="auto"/>
              <w:bottom w:val="single" w:sz="8" w:space="0" w:color="auto"/>
              <w:right w:val="single" w:sz="8" w:space="0" w:color="auto"/>
            </w:tcBorders>
            <w:shd w:val="clear" w:color="000000" w:fill="DDEBF7"/>
            <w:noWrap/>
            <w:vAlign w:val="center"/>
            <w:hideMark/>
          </w:tcPr>
          <w:p w:rsidR="00CC74E3" w:rsidRPr="003E2FBC" w:rsidRDefault="00CC74E3" w:rsidP="00795F76">
            <w:pPr>
              <w:jc w:val="center"/>
              <w:rPr>
                <w:rFonts w:eastAsia="Times New Roman" w:cs="Calibri"/>
                <w:b/>
                <w:bCs/>
                <w:lang w:val="tr-TR" w:eastAsia="tr-TR"/>
              </w:rPr>
            </w:pPr>
            <w:r w:rsidRPr="00303304">
              <w:rPr>
                <w:rFonts w:eastAsia="Times New Roman" w:cs="Calibri"/>
                <w:b/>
                <w:bCs/>
                <w:lang w:val="tr-TR" w:eastAsia="tr-TR"/>
              </w:rPr>
              <w:t>56.427.578</w:t>
            </w:r>
          </w:p>
        </w:tc>
      </w:tr>
    </w:tbl>
    <w:p w:rsidR="00A044F1" w:rsidRDefault="00A044F1" w:rsidP="00A044F1">
      <w:pPr>
        <w:pStyle w:val="Balk1"/>
        <w:tabs>
          <w:tab w:val="left" w:pos="543"/>
          <w:tab w:val="left" w:pos="544"/>
        </w:tabs>
        <w:spacing w:before="0"/>
        <w:ind w:firstLine="0"/>
      </w:pPr>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r w:rsidR="00CC74E3">
        <w:rPr>
          <w:rFonts w:eastAsia="Times New Roman" w:cs="Calibri"/>
          <w:b/>
          <w:bCs/>
          <w:lang w:val="tr-TR" w:eastAsia="tr-TR"/>
        </w:rPr>
        <w:t>56.427.578</w:t>
      </w:r>
      <w:r w:rsidR="00343451">
        <w:rPr>
          <w:rFonts w:eastAsia="Times New Roman" w:cs="Calibri"/>
          <w:b/>
          <w:bCs/>
          <w:lang w:val="tr-TR" w:eastAsia="tr-TR"/>
        </w:rPr>
        <w:t xml:space="preserve"> </w:t>
      </w:r>
      <w:r w:rsidR="007E22A5" w:rsidRPr="00B270DE">
        <w:rPr>
          <w:b/>
        </w:rPr>
        <w:t>kWh</w:t>
      </w:r>
      <w:r w:rsidRPr="00B270DE">
        <w:rPr>
          <w:b/>
        </w:rPr>
        <w:t xml:space="preserve"> </w:t>
      </w:r>
      <w:r>
        <w:t>olacaktır.</w:t>
      </w:r>
      <w:r w:rsidR="009470CF" w:rsidRPr="009470CF">
        <w:t xml:space="preserve"> </w:t>
      </w:r>
      <w:r w:rsidR="009470CF">
        <w:t>(“Miktarlar tahmini olarak belirtilmiştir. Sözleşme süresi boyunca, ilgili şehrin ihtiyacı olan doğalgaz tam tedarik usulünce sözleşme şartlarında yüklenici tarafından karşılanacaktır.”)</w:t>
      </w:r>
    </w:p>
    <w:p w:rsidR="00A852AF" w:rsidRDefault="00A852AF">
      <w:pPr>
        <w:pStyle w:val="GvdeMetni"/>
        <w:spacing w:before="0"/>
        <w:ind w:left="0" w:firstLine="0"/>
        <w:jc w:val="left"/>
        <w:rPr>
          <w:sz w:val="26"/>
        </w:rPr>
      </w:pPr>
      <w:bookmarkStart w:id="0" w:name="_GoBack"/>
      <w:bookmarkEnd w:id="0"/>
    </w:p>
    <w:p w:rsidR="00C1625F" w:rsidRDefault="009766CB">
      <w:pPr>
        <w:pStyle w:val="Balk1"/>
        <w:numPr>
          <w:ilvl w:val="0"/>
          <w:numId w:val="1"/>
        </w:numPr>
        <w:tabs>
          <w:tab w:val="left" w:pos="543"/>
          <w:tab w:val="left" w:pos="544"/>
        </w:tabs>
        <w:spacing w:before="196"/>
        <w:ind w:hanging="429"/>
      </w:pPr>
      <w:r>
        <w:lastRenderedPageBreak/>
        <w:t>GENEL</w:t>
      </w:r>
      <w:r>
        <w:rPr>
          <w:spacing w:val="-3"/>
        </w:rPr>
        <w:t xml:space="preserve"> </w:t>
      </w:r>
      <w:r>
        <w:t>HÜKÜMLER</w:t>
      </w:r>
    </w:p>
    <w:p w:rsidR="00C1625F" w:rsidRDefault="004B7158">
      <w:pPr>
        <w:pStyle w:val="ListeParagraf"/>
        <w:numPr>
          <w:ilvl w:val="1"/>
          <w:numId w:val="1"/>
        </w:numPr>
        <w:tabs>
          <w:tab w:val="left" w:pos="1264"/>
        </w:tabs>
        <w:spacing w:before="116"/>
        <w:ind w:right="109"/>
      </w:pPr>
      <w:r>
        <w:t>YÜKLENİCİ, T.C. Enerji Piyasası Düzenleme Kurumu(</w:t>
      </w:r>
      <w:r w:rsidR="009766CB">
        <w:t>EPDK</w:t>
      </w:r>
      <w:r>
        <w:t>) tarafından verilmiş Toptan Satış Lisansı veya İthalat Lisansının bir kopyasını ve LNG 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w:t>
      </w:r>
      <w:r w:rsidR="00151771">
        <w:t xml:space="preserve">LNG </w:t>
      </w:r>
      <w:r>
        <w:t>İletim Lisansı’nın bir kopyasını İhale Dosyası ile birlikte ibraz edecektir.</w:t>
      </w:r>
      <w:r w:rsidR="009766CB">
        <w:rPr>
          <w:spacing w:val="-8"/>
        </w:rPr>
        <w:t xml:space="preserve"> </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Pr="000A0BA6" w:rsidRDefault="009766CB">
      <w:pPr>
        <w:pStyle w:val="ListeParagraf"/>
        <w:numPr>
          <w:ilvl w:val="1"/>
          <w:numId w:val="1"/>
        </w:numPr>
        <w:tabs>
          <w:tab w:val="left" w:pos="1264"/>
        </w:tabs>
        <w:spacing w:before="117"/>
        <w:ind w:right="110"/>
      </w:pPr>
      <w:r w:rsidRPr="000A0BA6">
        <w:t>ENERYA, satın alınacak miktarları, ihtiyaca göre değiştirebilir ve YÜKLENİCİ’ye makul</w:t>
      </w:r>
      <w:r w:rsidRPr="000A0BA6">
        <w:rPr>
          <w:spacing w:val="-11"/>
        </w:rPr>
        <w:t xml:space="preserve"> </w:t>
      </w:r>
      <w:r w:rsidRPr="000A0BA6">
        <w:t>sürede</w:t>
      </w:r>
      <w:r w:rsidRPr="000A0BA6">
        <w:rPr>
          <w:spacing w:val="-16"/>
        </w:rPr>
        <w:t xml:space="preserve"> </w:t>
      </w:r>
      <w:r w:rsidRPr="000A0BA6">
        <w:t>bildirir.</w:t>
      </w:r>
      <w:r w:rsidRPr="000A0BA6">
        <w:rPr>
          <w:spacing w:val="16"/>
        </w:rPr>
        <w:t xml:space="preserve"> </w:t>
      </w:r>
      <w:r w:rsidRPr="000A0BA6">
        <w:t>ENERYA</w:t>
      </w:r>
      <w:r w:rsidRPr="000A0BA6">
        <w:rPr>
          <w:spacing w:val="-11"/>
        </w:rPr>
        <w:t xml:space="preserve"> </w:t>
      </w:r>
      <w:r w:rsidRPr="000A0BA6">
        <w:t>herhangi</w:t>
      </w:r>
      <w:r w:rsidRPr="000A0BA6">
        <w:rPr>
          <w:spacing w:val="-13"/>
        </w:rPr>
        <w:t xml:space="preserve"> </w:t>
      </w:r>
      <w:r w:rsidRPr="000A0BA6">
        <w:t>bir</w:t>
      </w:r>
      <w:r w:rsidRPr="000A0BA6">
        <w:rPr>
          <w:spacing w:val="-17"/>
        </w:rPr>
        <w:t xml:space="preserve"> </w:t>
      </w:r>
      <w:r w:rsidRPr="000A0BA6">
        <w:t>sebeple</w:t>
      </w:r>
      <w:r w:rsidRPr="000A0BA6">
        <w:rPr>
          <w:spacing w:val="-20"/>
        </w:rPr>
        <w:t xml:space="preserve"> </w:t>
      </w:r>
      <w:r w:rsidRPr="000A0BA6">
        <w:t>(tesislerinde</w:t>
      </w:r>
      <w:r w:rsidRPr="000A0BA6">
        <w:rPr>
          <w:spacing w:val="-15"/>
        </w:rPr>
        <w:t xml:space="preserve"> </w:t>
      </w:r>
      <w:r w:rsidRPr="000A0BA6">
        <w:t>önemli</w:t>
      </w:r>
      <w:r w:rsidRPr="000A0BA6">
        <w:rPr>
          <w:spacing w:val="-16"/>
        </w:rPr>
        <w:t xml:space="preserve"> </w:t>
      </w:r>
      <w:r w:rsidRPr="000A0BA6">
        <w:t>arıza,</w:t>
      </w:r>
      <w:r w:rsidRPr="000A0BA6">
        <w:rPr>
          <w:spacing w:val="-16"/>
        </w:rPr>
        <w:t xml:space="preserve"> </w:t>
      </w:r>
      <w:r w:rsidRPr="000A0BA6">
        <w:t xml:space="preserve">büyük bakım-onarım, yenileme, doğal afet, vb.) LNG sevkiyatını azaltabilir ve/veya durdurabilir. Bu durumda ENERYA’nın herhangi bir yükümlülüğü olmadığı gibi </w:t>
      </w:r>
      <w:proofErr w:type="gramStart"/>
      <w:r w:rsidRPr="000A0BA6">
        <w:t>YÜKLENİCİ’nin</w:t>
      </w:r>
      <w:proofErr w:type="gramEnd"/>
      <w:r w:rsidRPr="000A0BA6">
        <w:t xml:space="preserve"> ödeme dahil herhangi bir talebi de</w:t>
      </w:r>
      <w:r w:rsidRPr="000A0BA6">
        <w:rPr>
          <w:spacing w:val="-8"/>
        </w:rPr>
        <w:t xml:space="preserve"> </w:t>
      </w:r>
      <w:r w:rsidRPr="000A0BA6">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w:t>
      </w:r>
      <w:r w:rsidR="00EB22CC">
        <w:t>boşaltım</w:t>
      </w:r>
      <w:r>
        <w:t xml:space="preserve">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w:t>
      </w:r>
      <w:r w:rsidR="00EB22CC">
        <w:t>k ve boşaltım</w:t>
      </w:r>
      <w:r>
        <w:t xml:space="preserve">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w:t>
      </w:r>
      <w:r w:rsidR="00EB22CC">
        <w:t>boşaltıma</w:t>
      </w:r>
      <w:r>
        <w:t xml:space="preserve"> başlanabilecek olup, olası bir risk tespit edilmesi halinde ENERYA yetkilisi </w:t>
      </w:r>
      <w:r w:rsidR="00EB22CC">
        <w:t>boşaltımı</w:t>
      </w:r>
      <w:r>
        <w:rPr>
          <w:spacing w:val="-3"/>
        </w:rPr>
        <w:t xml:space="preserve"> </w:t>
      </w:r>
      <w:r>
        <w:t>durdurabilecektir.</w:t>
      </w:r>
    </w:p>
    <w:p w:rsidR="00C1625F" w:rsidRDefault="00EB22CC">
      <w:pPr>
        <w:pStyle w:val="ListeParagraf"/>
        <w:numPr>
          <w:ilvl w:val="1"/>
          <w:numId w:val="1"/>
        </w:numPr>
        <w:tabs>
          <w:tab w:val="left" w:pos="1264"/>
        </w:tabs>
        <w:ind w:right="109"/>
      </w:pPr>
      <w:r>
        <w:t>Boşaltım</w:t>
      </w:r>
      <w:r w:rsidR="009766CB">
        <w:rPr>
          <w:spacing w:val="-9"/>
        </w:rPr>
        <w:t xml:space="preserve"> </w:t>
      </w:r>
      <w:r w:rsidR="009766CB">
        <w:t>öncesinde</w:t>
      </w:r>
      <w:r w:rsidR="009766CB">
        <w:rPr>
          <w:spacing w:val="-10"/>
        </w:rPr>
        <w:t xml:space="preserve"> </w:t>
      </w:r>
      <w:r w:rsidR="009766CB">
        <w:t>veya</w:t>
      </w:r>
      <w:r w:rsidR="009766CB">
        <w:rPr>
          <w:spacing w:val="-5"/>
        </w:rPr>
        <w:t xml:space="preserve"> </w:t>
      </w:r>
      <w:r w:rsidR="009766CB">
        <w:t>esnasında</w:t>
      </w:r>
      <w:r w:rsidR="009766CB">
        <w:rPr>
          <w:spacing w:val="-5"/>
        </w:rPr>
        <w:t xml:space="preserve"> </w:t>
      </w:r>
      <w:r w:rsidR="009766CB">
        <w:t>LNG</w:t>
      </w:r>
      <w:r w:rsidR="009766CB">
        <w:rPr>
          <w:spacing w:val="-8"/>
        </w:rPr>
        <w:t xml:space="preserve"> </w:t>
      </w:r>
      <w:r w:rsidR="009766CB">
        <w:t>nakliyesi</w:t>
      </w:r>
      <w:r w:rsidR="009766CB">
        <w:rPr>
          <w:spacing w:val="-7"/>
        </w:rPr>
        <w:t xml:space="preserve"> </w:t>
      </w:r>
      <w:r w:rsidR="009766CB">
        <w:t>yapacak</w:t>
      </w:r>
      <w:r w:rsidR="009766CB">
        <w:rPr>
          <w:spacing w:val="-8"/>
        </w:rPr>
        <w:t xml:space="preserve"> </w:t>
      </w:r>
      <w:r w:rsidR="009766CB">
        <w:t>treyler/tankerde</w:t>
      </w:r>
      <w:r w:rsidR="009766CB">
        <w:rPr>
          <w:spacing w:val="-9"/>
        </w:rPr>
        <w:t xml:space="preserve"> </w:t>
      </w:r>
      <w:r w:rsidR="009766CB">
        <w:t xml:space="preserve">risk oluşturabilecek bir eksik tespit edilmesi halinde </w:t>
      </w:r>
      <w:r w:rsidR="002C0812">
        <w:t>boşaltım</w:t>
      </w:r>
      <w:r w:rsidR="009766CB">
        <w:t xml:space="preserve"> durdurulabilecek veya treyler/tanker tesis içerisine</w:t>
      </w:r>
      <w:r w:rsidR="009766CB">
        <w:rPr>
          <w:spacing w:val="-5"/>
        </w:rPr>
        <w:t xml:space="preserve"> </w:t>
      </w:r>
      <w:r w:rsidR="009766CB">
        <w:t>alınamayabilecektir.</w:t>
      </w:r>
    </w:p>
    <w:p w:rsidR="00C1625F" w:rsidRDefault="009766CB">
      <w:pPr>
        <w:pStyle w:val="ListeParagraf"/>
        <w:numPr>
          <w:ilvl w:val="1"/>
          <w:numId w:val="1"/>
        </w:numPr>
        <w:tabs>
          <w:tab w:val="left" w:pos="1264"/>
        </w:tabs>
        <w:spacing w:before="124"/>
        <w:ind w:right="106"/>
      </w:pPr>
      <w:r>
        <w:t xml:space="preserve">LNG nakliyesi yapacak treyler/tanker </w:t>
      </w:r>
      <w:r w:rsidR="002C0812">
        <w:t>boşaltım</w:t>
      </w:r>
      <w:r>
        <w:t xml:space="preserve"> sahasına giriş yaptıktan sonra, </w:t>
      </w:r>
      <w:r w:rsidR="002C0812">
        <w:t>boşaltım</w:t>
      </w:r>
      <w:r>
        <w:t xml:space="preserve">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YÜKLENİCİ, LNG’nin tesisteki stok tanklarına nakil ve boşaltım aşamalarında olabilecek muhtemel tehlikelere karşı, kendi personelinin ve ENERYA personelinin 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 xml:space="preserve">LNG nakliyesi yapacak treyler ve tankerlerin “Pi” sertifikası olması gereklidir. Araçlara ait “Pi” sertifikalarının aslı veya noter onaylı sureti ibraz edilecektir (05.06.2006 tarihli Resmi Gazetede Yayınlanan “Taşınabilir Basınçlı Ekipmanlar </w:t>
      </w:r>
      <w:r>
        <w:lastRenderedPageBreak/>
        <w:t>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YÜKLENİCİ bu maddede sayılan/talep edilen işlemlerin ve/veya belgelerin gerekli kısmını sözleşme imzalanmasından hemen sonra diğer kısmını da her bir sevkiyat 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9766CB">
      <w:pPr>
        <w:pStyle w:val="ListeParagraf"/>
        <w:numPr>
          <w:ilvl w:val="1"/>
          <w:numId w:val="1"/>
        </w:numPr>
        <w:tabs>
          <w:tab w:val="left" w:pos="1264"/>
        </w:tabs>
        <w:spacing w:before="78"/>
        <w:ind w:right="111"/>
      </w:pPr>
      <w:r>
        <w:lastRenderedPageBreak/>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w:t>
      </w:r>
      <w:r w:rsidR="00534285">
        <w:t xml:space="preserve"> kullanılan gazın ölçümünün yapılması için</w:t>
      </w:r>
      <w:r>
        <w:t xml:space="preserve"> ENERYA tarafından kurulmuş ölçüm istasyonları ve ölçüm i</w:t>
      </w:r>
      <w:r w:rsidR="00EB4A25">
        <w:t xml:space="preserve">stasyonlarında </w:t>
      </w:r>
      <w:r w:rsidR="00106415">
        <w:t xml:space="preserve">türbinmetre veya rotarymetre veya </w:t>
      </w:r>
      <w:r w:rsidR="00EB4A25">
        <w:t xml:space="preserve">ultrasonikmetre </w:t>
      </w:r>
      <w:r>
        <w:t>ve</w:t>
      </w:r>
      <w:r w:rsidR="00106415">
        <w:t>ya</w:t>
      </w:r>
      <w:r>
        <w:t xml:space="preserve"> flowcomputer </w:t>
      </w:r>
      <w:r w:rsidR="00106415">
        <w:t xml:space="preserve">veya hacim korrektör </w:t>
      </w:r>
      <w:r>
        <w:t xml:space="preserve">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2170F9" w:rsidRDefault="002170F9" w:rsidP="002170F9">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2170F9" w:rsidRDefault="002170F9" w:rsidP="002170F9">
      <w:pPr>
        <w:pStyle w:val="GvdeMetni"/>
        <w:spacing w:before="121"/>
        <w:ind w:left="543" w:right="113" w:firstLine="0"/>
        <w:rPr>
          <w:lang w:val="tr-TR"/>
        </w:rPr>
      </w:pPr>
      <w:r w:rsidRPr="005D4208">
        <w:t>Bu fiyat içerisindeki bileşenler her aybaşında, aşağıdaki formülde belirtilen şekilde, LNG   satış fiyatına yansıtılarak yeni ay fiyatı oluşacaktır.</w:t>
      </w:r>
      <w:r w:rsidR="005D4208" w:rsidRPr="005D4208">
        <w:t xml:space="preserve"> </w:t>
      </w:r>
      <w:r w:rsidR="005D4208" w:rsidRPr="00D13CFC">
        <w:t>İhale fiyatı alım yapılacak ilk aydan önceki bir ayda belirlendi ise ilk fiyatta aynı yöntemle hesaplanacaktır</w:t>
      </w:r>
      <w:r w:rsidR="005D4208">
        <w:rPr>
          <w:u w:val="single"/>
        </w:rPr>
        <w:t xml:space="preserve"> </w:t>
      </w:r>
      <w:r w:rsidR="005D4208">
        <w:t xml:space="preserve"> </w:t>
      </w:r>
      <w:r w:rsidRPr="005D4208">
        <w:t>Doğal</w:t>
      </w:r>
      <w:r>
        <w:t xml:space="preserve"> Gaz Birim Fiyatı değişikliği YÜKLENİC</w:t>
      </w:r>
      <w:r w:rsidR="005D4208">
        <w:t>İ tarafından DAĞITIM ŞİRKETİ’ne</w:t>
      </w:r>
      <w:r>
        <w:t xml:space="preserve"> yazılı olarak bildirilecektir. Doğal Gaz Birim Fiyatı’ </w:t>
      </w:r>
      <w:proofErr w:type="gramStart"/>
      <w:r>
        <w:t>nin</w:t>
      </w:r>
      <w:proofErr w:type="gramEnd"/>
      <w:r>
        <w:t xml:space="preserve"> değişmesi durumunda ise değişimin gerçekleştiği tarihten itibaren aşağıdaki formülle birim fiyat değişikliği gerçekleştirilecektir. </w:t>
      </w:r>
      <w:r w:rsidRPr="00913A6E">
        <w:t xml:space="preserve">Geçerli olan doğal gaz birim Fiyatı BOTAŞ tarafından aylık </w:t>
      </w:r>
      <w:proofErr w:type="gramStart"/>
      <w:r w:rsidRPr="00913A6E">
        <w:t>olarak  açıklanan</w:t>
      </w:r>
      <w:proofErr w:type="gramEnd"/>
      <w:r w:rsidRPr="00913A6E">
        <w:t xml:space="preserve"> ve YÜKLENİCİ’ nin doğal gaz teminine esas fiyattır.</w:t>
      </w:r>
      <w:r w:rsidRPr="00CF6C26">
        <w:rPr>
          <w:lang w:val="tr-TR"/>
        </w:rPr>
        <w:t xml:space="preserve"> </w:t>
      </w:r>
    </w:p>
    <w:p w:rsidR="002170F9" w:rsidRPr="00CF6C26" w:rsidRDefault="002170F9" w:rsidP="002170F9">
      <w:pPr>
        <w:pStyle w:val="GvdeMetni"/>
        <w:spacing w:before="121"/>
        <w:ind w:left="543" w:right="113" w:firstLine="0"/>
        <w:rPr>
          <w:lang w:val="tr-TR"/>
        </w:rPr>
      </w:pPr>
    </w:p>
    <w:p w:rsidR="002170F9" w:rsidRPr="00CF6C26" w:rsidRDefault="002170F9" w:rsidP="002170F9">
      <w:pPr>
        <w:pStyle w:val="GvdeMetni"/>
        <w:spacing w:before="121"/>
        <w:ind w:left="543" w:right="113"/>
        <w:rPr>
          <w:b/>
          <w:bCs/>
          <w:lang w:val="tr-TR"/>
        </w:rPr>
      </w:pPr>
      <w:r>
        <w:rPr>
          <w:b/>
          <w:bCs/>
          <w:lang w:val="tr-TR"/>
        </w:rPr>
        <w:t xml:space="preserve">             </w:t>
      </w:r>
      <w:r>
        <w:rPr>
          <w:b/>
          <w:bCs/>
          <w:lang w:val="tr-TR"/>
        </w:rPr>
        <w:tab/>
        <w:t xml:space="preserve"> </w:t>
      </w: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LNG(Temmuz 2025)</m:t>
            </m:r>
          </m:sub>
        </m:sSub>
        <m:r>
          <m:rPr>
            <m:sty m:val="bi"/>
          </m:rPr>
          <w:rPr>
            <w:rFonts w:ascii="Cambria Math" w:hAnsi="Cambria Math"/>
            <w:lang w:val="tr-TR"/>
          </w:rPr>
          <m:t>=                                         TL/kwh</m:t>
        </m:r>
      </m:oMath>
      <w:r w:rsidRPr="00CF6C26">
        <w:rPr>
          <w:b/>
          <w:bCs/>
          <w:lang w:val="tr-TR"/>
        </w:rPr>
        <w:t xml:space="preserve"> </w:t>
      </w:r>
    </w:p>
    <w:p w:rsidR="002170F9" w:rsidRPr="00CF6C26" w:rsidRDefault="005D4208" w:rsidP="002170F9">
      <w:pPr>
        <w:pStyle w:val="GvdeMetni"/>
        <w:spacing w:before="121"/>
        <w:ind w:left="543" w:right="113"/>
        <w:rPr>
          <w:b/>
          <w:bCs/>
          <w:lang w:val="tr-TR"/>
        </w:rPr>
      </w:pPr>
      <w:r>
        <w:rPr>
          <w:b/>
          <w:bCs/>
          <w:lang w:val="tr-TR"/>
        </w:rPr>
        <w:tab/>
      </w:r>
      <w:proofErr w:type="gramStart"/>
      <w:r w:rsidRPr="008F134B">
        <w:rPr>
          <w:b/>
          <w:bCs/>
          <w:i/>
          <w:iCs/>
          <w:u w:val="single"/>
        </w:rPr>
        <w:t>P</w:t>
      </w:r>
      <w:r w:rsidRPr="008F134B">
        <w:rPr>
          <w:b/>
          <w:bCs/>
          <w:i/>
          <w:iCs/>
          <w:u w:val="single"/>
          <w:vertAlign w:val="subscript"/>
        </w:rPr>
        <w:t>LNG(</w:t>
      </w:r>
      <w:proofErr w:type="gramEnd"/>
      <w:r w:rsidRPr="008F134B">
        <w:rPr>
          <w:b/>
          <w:bCs/>
          <w:i/>
          <w:iCs/>
          <w:u w:val="single"/>
          <w:vertAlign w:val="subscript"/>
        </w:rPr>
        <w:t>Temmuz 202</w:t>
      </w:r>
      <w:r w:rsidR="007E230F">
        <w:rPr>
          <w:b/>
          <w:bCs/>
          <w:i/>
          <w:iCs/>
          <w:u w:val="single"/>
          <w:vertAlign w:val="subscript"/>
        </w:rPr>
        <w:t>5</w:t>
      </w:r>
      <w:r w:rsidRPr="008F134B">
        <w:rPr>
          <w:b/>
          <w:bCs/>
          <w:i/>
          <w:iCs/>
          <w:u w:val="single"/>
          <w:vertAlign w:val="subscript"/>
        </w:rPr>
        <w:t>)</w:t>
      </w:r>
      <w:r w:rsidRPr="008F134B">
        <w:rPr>
          <w:vertAlign w:val="subscript"/>
        </w:rPr>
        <w:t xml:space="preserve"> </w:t>
      </w:r>
      <w:r w:rsidRPr="008F134B">
        <w:t>= İhale sonucunda oluşan fiyat + ÖTV</w:t>
      </w:r>
    </w:p>
    <w:p w:rsidR="002170F9" w:rsidRPr="00CF6C26" w:rsidRDefault="00290CC0" w:rsidP="002170F9">
      <w:pPr>
        <w:pStyle w:val="GvdeMetni"/>
        <w:spacing w:before="121"/>
        <w:ind w:left="543" w:right="113" w:firstLine="177"/>
        <w:rPr>
          <w:b/>
          <w:bCs/>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B</m:t>
              </m:r>
            </m:e>
            <m:sub>
              <m:r>
                <m:rPr>
                  <m:sty m:val="bi"/>
                </m:rPr>
                <w:rPr>
                  <w:rFonts w:ascii="Cambria Math" w:hAnsi="Cambria Math"/>
                  <w:lang w:val="tr-TR"/>
                </w:rPr>
                <m:t>LNG+SKB(i)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oMath>
      </m:oMathPara>
    </w:p>
    <w:p w:rsidR="002170F9" w:rsidRPr="00CF6C26" w:rsidRDefault="002170F9" w:rsidP="002170F9">
      <w:pPr>
        <w:pStyle w:val="GvdeMetni"/>
        <w:spacing w:before="121"/>
        <w:ind w:left="543" w:right="113"/>
        <w:rPr>
          <w:bCs/>
          <w:lang w:val="tr-TR"/>
        </w:rPr>
      </w:pPr>
    </w:p>
    <w:p w:rsidR="002170F9" w:rsidRPr="00CF6C26" w:rsidRDefault="002170F9" w:rsidP="002170F9">
      <w:pPr>
        <w:pStyle w:val="GvdeMetni"/>
        <w:spacing w:before="121"/>
        <w:ind w:left="543" w:right="113" w:firstLine="0"/>
        <w:rPr>
          <w:lang w:val="tr-TR"/>
        </w:rPr>
      </w:pPr>
      <w:r w:rsidRPr="00CF6C26">
        <w:rPr>
          <w:b/>
          <w:u w:val="single"/>
          <w:lang w:val="tr-TR"/>
        </w:rPr>
        <w:t>P</w:t>
      </w:r>
      <w:r>
        <w:rPr>
          <w:b/>
          <w:u w:val="single"/>
          <w:vertAlign w:val="subscript"/>
          <w:lang w:val="tr-TR"/>
        </w:rPr>
        <w:t>LNG</w:t>
      </w:r>
      <w:r w:rsidRPr="00CF6C26">
        <w:rPr>
          <w:b/>
          <w:u w:val="single"/>
          <w:vertAlign w:val="subscript"/>
          <w:lang w:val="tr-TR"/>
        </w:rPr>
        <w:t>(i)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ayında Dağıtım Şirketine yapılacak </w:t>
      </w:r>
      <w:r>
        <w:rPr>
          <w:lang w:val="tr-TR"/>
        </w:rPr>
        <w:t>LNG</w:t>
      </w:r>
      <w:r w:rsidRPr="00CF6C26">
        <w:rPr>
          <w:lang w:val="tr-TR"/>
        </w:rPr>
        <w:t xml:space="preserve"> satışında kullanılacak ola</w:t>
      </w:r>
      <w:r>
        <w:rPr>
          <w:lang w:val="tr-TR"/>
        </w:rPr>
        <w:t>n LNG satış birim fiyatı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geçerli olan ÖTV ve İlgili Dağıtım Bölgesi Sistem Kullanım Bedeli </w:t>
      </w:r>
      <w:proofErr w:type="gramStart"/>
      <w:r w:rsidRPr="00CF6C26">
        <w:rPr>
          <w:lang w:val="tr-TR"/>
        </w:rPr>
        <w:t>dahil</w:t>
      </w:r>
      <w:proofErr w:type="gramEnd"/>
      <w:r w:rsidRPr="00CF6C26">
        <w:rPr>
          <w:lang w:val="tr-TR"/>
        </w:rPr>
        <w:t xml:space="preserve">, BOTAŞ'tan Doğal Gaz Satın Alan </w:t>
      </w:r>
      <w:r>
        <w:rPr>
          <w:lang w:val="tr-TR"/>
        </w:rPr>
        <w:t>LNG</w:t>
      </w:r>
      <w:r w:rsidRPr="00CF6C26">
        <w:rPr>
          <w:lang w:val="tr-TR"/>
        </w:rPr>
        <w:t xml:space="preserve"> Müşterilerinin Dağıtım Şirketi Statüsündeki Müşterilerine Yapılan Satışları için uygulanan </w:t>
      </w:r>
      <w:r>
        <w:rPr>
          <w:lang w:val="tr-TR"/>
        </w:rPr>
        <w:t>LNG</w:t>
      </w:r>
      <w:r w:rsidRPr="00CF6C26">
        <w:rPr>
          <w:lang w:val="tr-TR"/>
        </w:rPr>
        <w:t xml:space="preserve"> satış birim fiyatıdır</w:t>
      </w:r>
      <w:r>
        <w:rPr>
          <w:lang w:val="tr-TR"/>
        </w:rPr>
        <w:t xml:space="preserve">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w:t>
      </w:r>
      <w:r w:rsidRPr="00CF6C26">
        <w:rPr>
          <w:b/>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Yüklenicinin masrafları ve kar </w:t>
      </w:r>
      <w:proofErr w:type="gramStart"/>
      <w:r w:rsidRPr="00CF6C26">
        <w:rPr>
          <w:lang w:val="tr-TR"/>
        </w:rPr>
        <w:t>marjıdır</w:t>
      </w:r>
      <w:proofErr w:type="gramEnd"/>
      <w:r w:rsidRPr="00CF6C26">
        <w:rPr>
          <w:lang w:val="tr-TR"/>
        </w:rPr>
        <w:t>. İhalede oluşan bedelden B</w:t>
      </w:r>
      <w:r>
        <w:rPr>
          <w:vertAlign w:val="subscript"/>
          <w:lang w:val="tr-TR"/>
        </w:rPr>
        <w:t>LNG</w:t>
      </w:r>
      <w:r w:rsidRPr="00CF6C26">
        <w:rPr>
          <w:vertAlign w:val="subscript"/>
          <w:lang w:val="tr-TR"/>
        </w:rPr>
        <w:t>+SKB</w:t>
      </w:r>
      <w:r w:rsidRPr="00CF6C26">
        <w:rPr>
          <w:lang w:val="tr-TR"/>
        </w:rPr>
        <w:t xml:space="preserve"> be</w:t>
      </w:r>
      <w:r>
        <w:rPr>
          <w:lang w:val="tr-TR"/>
        </w:rPr>
        <w:t>delinin düşülmüş halidir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b/>
          <w:vertAlign w:val="subscript"/>
          <w:lang w:val="tr-TR"/>
        </w:rPr>
        <w:t xml:space="preserve"> </w:t>
      </w:r>
      <w:r w:rsidRPr="00CF6C26">
        <w:rPr>
          <w:lang w:val="tr-TR"/>
        </w:rPr>
        <w:t>= Her ay BOTAŞ ve İlgili Dağıtım Şirketi tarafından açıklanan birim fiyata göre güncellenecektir.</w:t>
      </w:r>
    </w:p>
    <w:p w:rsidR="002170F9" w:rsidRPr="00CF6C26" w:rsidRDefault="00290CC0" w:rsidP="002170F9">
      <w:pPr>
        <w:pStyle w:val="GvdeMetni"/>
        <w:spacing w:before="121"/>
        <w:ind w:left="543" w:right="113"/>
        <w:rPr>
          <w:b/>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P(i-1)</m:t>
              </m:r>
            </m:sub>
          </m:sSub>
          <m:r>
            <m:rPr>
              <m:sty m:val="bi"/>
            </m:rPr>
            <w:rPr>
              <w:rFonts w:ascii="Cambria Math" w:hAnsi="Cambria Math"/>
              <w:lang w:val="tr-TR"/>
            </w:rPr>
            <m:t>*(1+</m:t>
          </m:r>
          <m:r>
            <m:rPr>
              <m:sty m:val="b"/>
            </m:rPr>
            <w:rPr>
              <w:rFonts w:ascii="Cambria Math" w:hAnsi="Cambria Math"/>
              <w:lang w:val="tr-TR"/>
            </w:rPr>
            <m:t>Yİ</m:t>
          </m:r>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TÜFE</m:t>
              </m:r>
            </m:e>
            <m:sub>
              <m:r>
                <m:rPr>
                  <m:sty m:val="bi"/>
                </m:rPr>
                <w:rPr>
                  <w:rFonts w:ascii="Cambria Math" w:hAnsi="Cambria Math"/>
                  <w:lang w:val="tr-TR"/>
                </w:rPr>
                <m:t>(i-2)</m:t>
              </m:r>
            </m:sub>
          </m:sSub>
          <m:r>
            <m:rPr>
              <m:sty m:val="bi"/>
            </m:rPr>
            <w:rPr>
              <w:rFonts w:ascii="Cambria Math" w:hAnsi="Cambria Math"/>
              <w:lang w:val="tr-TR"/>
            </w:rPr>
            <m:t>)</m:t>
          </m:r>
        </m:oMath>
      </m:oMathPara>
    </w:p>
    <w:p w:rsidR="002170F9" w:rsidRPr="00CF6C26" w:rsidRDefault="002170F9" w:rsidP="002170F9">
      <w:pPr>
        <w:pStyle w:val="GvdeMetni"/>
        <w:spacing w:before="121"/>
        <w:ind w:left="543" w:right="113"/>
        <w:rPr>
          <w:lang w:val="tr-TR"/>
        </w:rPr>
      </w:pP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P(i-1)</w:t>
      </w:r>
      <w:r w:rsidRPr="00CF6C26">
        <w:rPr>
          <w:u w:val="single"/>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-1)’inci ayda uygulanan Yüklenici mas</w:t>
      </w:r>
      <w:r>
        <w:rPr>
          <w:lang w:val="tr-TR"/>
        </w:rPr>
        <w:t xml:space="preserve">raf ve kar </w:t>
      </w:r>
      <w:proofErr w:type="gramStart"/>
      <w:r>
        <w:rPr>
          <w:lang w:val="tr-TR"/>
        </w:rPr>
        <w:t>marjı</w:t>
      </w:r>
      <w:proofErr w:type="gramEnd"/>
      <w:r>
        <w:rPr>
          <w:lang w:val="tr-TR"/>
        </w:rPr>
        <w:t xml:space="preserve"> payıdır (TL/kwh</w:t>
      </w:r>
      <w:r w:rsidRPr="00CF6C26">
        <w:rPr>
          <w:lang w:val="tr-TR"/>
        </w:rPr>
        <w:t>).</w:t>
      </w:r>
    </w:p>
    <w:p w:rsidR="002170F9" w:rsidRDefault="002170F9" w:rsidP="002170F9">
      <w:pPr>
        <w:pStyle w:val="GvdeMetni"/>
        <w:spacing w:before="121"/>
        <w:ind w:left="543" w:right="113" w:firstLine="0"/>
        <w:rPr>
          <w:lang w:val="tr-TR"/>
        </w:rPr>
      </w:pPr>
      <w:r w:rsidRPr="00CF6C26">
        <w:rPr>
          <w:b/>
          <w:u w:val="single"/>
          <w:lang w:val="tr-TR"/>
        </w:rPr>
        <w:t>Yİ-TÜFE</w:t>
      </w:r>
      <w:r w:rsidRPr="00CF6C26">
        <w:rPr>
          <w:b/>
          <w:u w:val="single"/>
          <w:vertAlign w:val="subscript"/>
          <w:lang w:val="tr-TR"/>
        </w:rPr>
        <w:t>(i-2)</w:t>
      </w:r>
      <w:r w:rsidRPr="00CF6C26">
        <w:rPr>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 xml:space="preserve">-2)’nci ayda Yurt İçi Tüketici Fiyat Endeksi’nde meydana gelen ve </w:t>
      </w:r>
      <m:oMath>
        <m:r>
          <w:rPr>
            <w:rFonts w:ascii="Cambria Math" w:hAnsi="Cambria Math"/>
            <w:lang w:val="tr-TR"/>
          </w:rPr>
          <m:t>(</m:t>
        </m:r>
        <m:r>
          <m:rPr>
            <m:sty m:val="bi"/>
          </m:rPr>
          <w:rPr>
            <w:rFonts w:ascii="Cambria Math" w:hAnsi="Cambria Math"/>
            <w:lang w:val="tr-TR"/>
          </w:rPr>
          <m:t>i</m:t>
        </m:r>
      </m:oMath>
      <w:r w:rsidRPr="00CF6C26">
        <w:rPr>
          <w:lang w:val="tr-TR"/>
        </w:rPr>
        <w:t>-1)’inci ay içinde açıklana</w:t>
      </w:r>
      <w:r>
        <w:rPr>
          <w:lang w:val="tr-TR"/>
        </w:rPr>
        <w:t>n</w:t>
      </w:r>
      <w:r w:rsidRPr="00CF6C26">
        <w:rPr>
          <w:lang w:val="tr-TR"/>
        </w:rPr>
        <w:t xml:space="preserve"> değişim oranı (%)</w:t>
      </w:r>
    </w:p>
    <w:p w:rsidR="002170F9" w:rsidRDefault="002170F9" w:rsidP="002170F9">
      <w:pPr>
        <w:pStyle w:val="GvdeMetni"/>
        <w:spacing w:before="121"/>
        <w:ind w:left="543" w:right="113" w:firstLine="0"/>
      </w:pPr>
    </w:p>
    <w:p w:rsidR="002170F9" w:rsidRDefault="002170F9" w:rsidP="002170F9">
      <w:pPr>
        <w:pStyle w:val="Balk1"/>
        <w:numPr>
          <w:ilvl w:val="0"/>
          <w:numId w:val="1"/>
        </w:numPr>
        <w:tabs>
          <w:tab w:val="left" w:pos="543"/>
          <w:tab w:val="left" w:pos="544"/>
        </w:tabs>
        <w:ind w:hanging="429"/>
      </w:pPr>
      <w:r>
        <w:t>CEZALAR</w:t>
      </w:r>
    </w:p>
    <w:p w:rsidR="00C1625F" w:rsidRDefault="002170F9" w:rsidP="00D617F9">
      <w:pPr>
        <w:pStyle w:val="GvdeMetni"/>
        <w:spacing w:before="121"/>
        <w:ind w:left="543" w:right="113" w:firstLine="0"/>
        <w:sectPr w:rsidR="00C1625F">
          <w:footerReference w:type="default" r:id="rId8"/>
          <w:pgSz w:w="11900" w:h="16840"/>
          <w:pgMar w:top="1340" w:right="1300" w:bottom="1180" w:left="1300" w:header="0" w:footer="988" w:gutter="0"/>
          <w:cols w:space="720"/>
        </w:sectPr>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rsidR="00D617F9">
        <w:t>edilir.</w:t>
      </w:r>
    </w:p>
    <w:p w:rsidR="00C1625F" w:rsidRDefault="00C1625F" w:rsidP="00D617F9">
      <w:pPr>
        <w:pStyle w:val="GvdeMetni"/>
        <w:spacing w:before="117"/>
        <w:ind w:left="0" w:right="106" w:firstLine="0"/>
      </w:pP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CC0" w:rsidRDefault="00290CC0">
      <w:r>
        <w:separator/>
      </w:r>
    </w:p>
  </w:endnote>
  <w:endnote w:type="continuationSeparator" w:id="0">
    <w:p w:rsidR="00290CC0" w:rsidRDefault="0029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CC74E3">
                            <w:rPr>
                              <w:b/>
                              <w:noProof/>
                              <w:sz w:val="18"/>
                            </w:rPr>
                            <w:t>1</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CC74E3">
                      <w:rPr>
                        <w:b/>
                        <w:noProof/>
                        <w:sz w:val="18"/>
                      </w:rPr>
                      <w:t>1</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CC0" w:rsidRDefault="00290CC0">
      <w:r>
        <w:separator/>
      </w:r>
    </w:p>
  </w:footnote>
  <w:footnote w:type="continuationSeparator" w:id="0">
    <w:p w:rsidR="00290CC0" w:rsidRDefault="0029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A00F8"/>
    <w:rsid w:val="000A0BA6"/>
    <w:rsid w:val="00105826"/>
    <w:rsid w:val="00106415"/>
    <w:rsid w:val="0014140D"/>
    <w:rsid w:val="00151771"/>
    <w:rsid w:val="001539B7"/>
    <w:rsid w:val="00180AE8"/>
    <w:rsid w:val="002170F9"/>
    <w:rsid w:val="00256C40"/>
    <w:rsid w:val="00290CC0"/>
    <w:rsid w:val="002C0812"/>
    <w:rsid w:val="002C1D82"/>
    <w:rsid w:val="002C4E0E"/>
    <w:rsid w:val="002E0611"/>
    <w:rsid w:val="002F2A03"/>
    <w:rsid w:val="00341285"/>
    <w:rsid w:val="00343451"/>
    <w:rsid w:val="003B2AE1"/>
    <w:rsid w:val="003C3405"/>
    <w:rsid w:val="003E2FBC"/>
    <w:rsid w:val="004711B5"/>
    <w:rsid w:val="00473DC0"/>
    <w:rsid w:val="004B61E4"/>
    <w:rsid w:val="004B7158"/>
    <w:rsid w:val="004B7DEB"/>
    <w:rsid w:val="00534285"/>
    <w:rsid w:val="005431DC"/>
    <w:rsid w:val="005A432C"/>
    <w:rsid w:val="005D4208"/>
    <w:rsid w:val="00607954"/>
    <w:rsid w:val="00722170"/>
    <w:rsid w:val="00731318"/>
    <w:rsid w:val="00781103"/>
    <w:rsid w:val="007E22A5"/>
    <w:rsid w:val="007E230F"/>
    <w:rsid w:val="007F538A"/>
    <w:rsid w:val="0087416A"/>
    <w:rsid w:val="00891BA4"/>
    <w:rsid w:val="008A18D1"/>
    <w:rsid w:val="008A4065"/>
    <w:rsid w:val="008C0F4B"/>
    <w:rsid w:val="008E0BB1"/>
    <w:rsid w:val="008E7176"/>
    <w:rsid w:val="008F10A7"/>
    <w:rsid w:val="009336C3"/>
    <w:rsid w:val="009470CF"/>
    <w:rsid w:val="009766CB"/>
    <w:rsid w:val="009C78A2"/>
    <w:rsid w:val="00A044F1"/>
    <w:rsid w:val="00A1283F"/>
    <w:rsid w:val="00A16689"/>
    <w:rsid w:val="00A852AF"/>
    <w:rsid w:val="00A9445A"/>
    <w:rsid w:val="00AC5B31"/>
    <w:rsid w:val="00B270DE"/>
    <w:rsid w:val="00B565D8"/>
    <w:rsid w:val="00BC254D"/>
    <w:rsid w:val="00C1625F"/>
    <w:rsid w:val="00C35765"/>
    <w:rsid w:val="00CC74E3"/>
    <w:rsid w:val="00CF0077"/>
    <w:rsid w:val="00D45518"/>
    <w:rsid w:val="00D617F9"/>
    <w:rsid w:val="00DC4C57"/>
    <w:rsid w:val="00E33B43"/>
    <w:rsid w:val="00E82207"/>
    <w:rsid w:val="00E9768D"/>
    <w:rsid w:val="00EB1549"/>
    <w:rsid w:val="00EB22CC"/>
    <w:rsid w:val="00EB2FE7"/>
    <w:rsid w:val="00EB4A25"/>
    <w:rsid w:val="00EF7C0A"/>
    <w:rsid w:val="00F45089"/>
    <w:rsid w:val="00F455BF"/>
    <w:rsid w:val="00F95A41"/>
    <w:rsid w:val="00F975EF"/>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EF45A"/>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473D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DC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125321099">
      <w:bodyDiv w:val="1"/>
      <w:marLeft w:val="0"/>
      <w:marRight w:val="0"/>
      <w:marTop w:val="0"/>
      <w:marBottom w:val="0"/>
      <w:divBdr>
        <w:top w:val="none" w:sz="0" w:space="0" w:color="auto"/>
        <w:left w:val="none" w:sz="0" w:space="0" w:color="auto"/>
        <w:bottom w:val="none" w:sz="0" w:space="0" w:color="auto"/>
        <w:right w:val="none" w:sz="0" w:space="0" w:color="auto"/>
      </w:divBdr>
    </w:div>
    <w:div w:id="191693839">
      <w:bodyDiv w:val="1"/>
      <w:marLeft w:val="0"/>
      <w:marRight w:val="0"/>
      <w:marTop w:val="0"/>
      <w:marBottom w:val="0"/>
      <w:divBdr>
        <w:top w:val="none" w:sz="0" w:space="0" w:color="auto"/>
        <w:left w:val="none" w:sz="0" w:space="0" w:color="auto"/>
        <w:bottom w:val="none" w:sz="0" w:space="0" w:color="auto"/>
        <w:right w:val="none" w:sz="0" w:space="0" w:color="auto"/>
      </w:divBdr>
    </w:div>
    <w:div w:id="247084248">
      <w:bodyDiv w:val="1"/>
      <w:marLeft w:val="0"/>
      <w:marRight w:val="0"/>
      <w:marTop w:val="0"/>
      <w:marBottom w:val="0"/>
      <w:divBdr>
        <w:top w:val="none" w:sz="0" w:space="0" w:color="auto"/>
        <w:left w:val="none" w:sz="0" w:space="0" w:color="auto"/>
        <w:bottom w:val="none" w:sz="0" w:space="0" w:color="auto"/>
        <w:right w:val="none" w:sz="0" w:space="0" w:color="auto"/>
      </w:divBdr>
    </w:div>
    <w:div w:id="322517009">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23917892">
      <w:bodyDiv w:val="1"/>
      <w:marLeft w:val="0"/>
      <w:marRight w:val="0"/>
      <w:marTop w:val="0"/>
      <w:marBottom w:val="0"/>
      <w:divBdr>
        <w:top w:val="none" w:sz="0" w:space="0" w:color="auto"/>
        <w:left w:val="none" w:sz="0" w:space="0" w:color="auto"/>
        <w:bottom w:val="none" w:sz="0" w:space="0" w:color="auto"/>
        <w:right w:val="none" w:sz="0" w:space="0" w:color="auto"/>
      </w:divBdr>
    </w:div>
    <w:div w:id="465046506">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566109015">
      <w:bodyDiv w:val="1"/>
      <w:marLeft w:val="0"/>
      <w:marRight w:val="0"/>
      <w:marTop w:val="0"/>
      <w:marBottom w:val="0"/>
      <w:divBdr>
        <w:top w:val="none" w:sz="0" w:space="0" w:color="auto"/>
        <w:left w:val="none" w:sz="0" w:space="0" w:color="auto"/>
        <w:bottom w:val="none" w:sz="0" w:space="0" w:color="auto"/>
        <w:right w:val="none" w:sz="0" w:space="0" w:color="auto"/>
      </w:divBdr>
    </w:div>
    <w:div w:id="635449984">
      <w:bodyDiv w:val="1"/>
      <w:marLeft w:val="0"/>
      <w:marRight w:val="0"/>
      <w:marTop w:val="0"/>
      <w:marBottom w:val="0"/>
      <w:divBdr>
        <w:top w:val="none" w:sz="0" w:space="0" w:color="auto"/>
        <w:left w:val="none" w:sz="0" w:space="0" w:color="auto"/>
        <w:bottom w:val="none" w:sz="0" w:space="0" w:color="auto"/>
        <w:right w:val="none" w:sz="0" w:space="0" w:color="auto"/>
      </w:divBdr>
    </w:div>
    <w:div w:id="833684731">
      <w:bodyDiv w:val="1"/>
      <w:marLeft w:val="0"/>
      <w:marRight w:val="0"/>
      <w:marTop w:val="0"/>
      <w:marBottom w:val="0"/>
      <w:divBdr>
        <w:top w:val="none" w:sz="0" w:space="0" w:color="auto"/>
        <w:left w:val="none" w:sz="0" w:space="0" w:color="auto"/>
        <w:bottom w:val="none" w:sz="0" w:space="0" w:color="auto"/>
        <w:right w:val="none" w:sz="0" w:space="0" w:color="auto"/>
      </w:divBdr>
    </w:div>
    <w:div w:id="870266853">
      <w:bodyDiv w:val="1"/>
      <w:marLeft w:val="0"/>
      <w:marRight w:val="0"/>
      <w:marTop w:val="0"/>
      <w:marBottom w:val="0"/>
      <w:divBdr>
        <w:top w:val="none" w:sz="0" w:space="0" w:color="auto"/>
        <w:left w:val="none" w:sz="0" w:space="0" w:color="auto"/>
        <w:bottom w:val="none" w:sz="0" w:space="0" w:color="auto"/>
        <w:right w:val="none" w:sz="0" w:space="0" w:color="auto"/>
      </w:divBdr>
    </w:div>
    <w:div w:id="910385802">
      <w:bodyDiv w:val="1"/>
      <w:marLeft w:val="0"/>
      <w:marRight w:val="0"/>
      <w:marTop w:val="0"/>
      <w:marBottom w:val="0"/>
      <w:divBdr>
        <w:top w:val="none" w:sz="0" w:space="0" w:color="auto"/>
        <w:left w:val="none" w:sz="0" w:space="0" w:color="auto"/>
        <w:bottom w:val="none" w:sz="0" w:space="0" w:color="auto"/>
        <w:right w:val="none" w:sz="0" w:space="0" w:color="auto"/>
      </w:divBdr>
    </w:div>
    <w:div w:id="922422251">
      <w:bodyDiv w:val="1"/>
      <w:marLeft w:val="0"/>
      <w:marRight w:val="0"/>
      <w:marTop w:val="0"/>
      <w:marBottom w:val="0"/>
      <w:divBdr>
        <w:top w:val="none" w:sz="0" w:space="0" w:color="auto"/>
        <w:left w:val="none" w:sz="0" w:space="0" w:color="auto"/>
        <w:bottom w:val="none" w:sz="0" w:space="0" w:color="auto"/>
        <w:right w:val="none" w:sz="0" w:space="0" w:color="auto"/>
      </w:divBdr>
    </w:div>
    <w:div w:id="950622759">
      <w:bodyDiv w:val="1"/>
      <w:marLeft w:val="0"/>
      <w:marRight w:val="0"/>
      <w:marTop w:val="0"/>
      <w:marBottom w:val="0"/>
      <w:divBdr>
        <w:top w:val="none" w:sz="0" w:space="0" w:color="auto"/>
        <w:left w:val="none" w:sz="0" w:space="0" w:color="auto"/>
        <w:bottom w:val="none" w:sz="0" w:space="0" w:color="auto"/>
        <w:right w:val="none" w:sz="0" w:space="0" w:color="auto"/>
      </w:divBdr>
    </w:div>
    <w:div w:id="959799768">
      <w:bodyDiv w:val="1"/>
      <w:marLeft w:val="0"/>
      <w:marRight w:val="0"/>
      <w:marTop w:val="0"/>
      <w:marBottom w:val="0"/>
      <w:divBdr>
        <w:top w:val="none" w:sz="0" w:space="0" w:color="auto"/>
        <w:left w:val="none" w:sz="0" w:space="0" w:color="auto"/>
        <w:bottom w:val="none" w:sz="0" w:space="0" w:color="auto"/>
        <w:right w:val="none" w:sz="0" w:space="0" w:color="auto"/>
      </w:divBdr>
    </w:div>
    <w:div w:id="989361210">
      <w:bodyDiv w:val="1"/>
      <w:marLeft w:val="0"/>
      <w:marRight w:val="0"/>
      <w:marTop w:val="0"/>
      <w:marBottom w:val="0"/>
      <w:divBdr>
        <w:top w:val="none" w:sz="0" w:space="0" w:color="auto"/>
        <w:left w:val="none" w:sz="0" w:space="0" w:color="auto"/>
        <w:bottom w:val="none" w:sz="0" w:space="0" w:color="auto"/>
        <w:right w:val="none" w:sz="0" w:space="0" w:color="auto"/>
      </w:divBdr>
    </w:div>
    <w:div w:id="1006706805">
      <w:bodyDiv w:val="1"/>
      <w:marLeft w:val="0"/>
      <w:marRight w:val="0"/>
      <w:marTop w:val="0"/>
      <w:marBottom w:val="0"/>
      <w:divBdr>
        <w:top w:val="none" w:sz="0" w:space="0" w:color="auto"/>
        <w:left w:val="none" w:sz="0" w:space="0" w:color="auto"/>
        <w:bottom w:val="none" w:sz="0" w:space="0" w:color="auto"/>
        <w:right w:val="none" w:sz="0" w:space="0" w:color="auto"/>
      </w:divBdr>
    </w:div>
    <w:div w:id="1026755154">
      <w:bodyDiv w:val="1"/>
      <w:marLeft w:val="0"/>
      <w:marRight w:val="0"/>
      <w:marTop w:val="0"/>
      <w:marBottom w:val="0"/>
      <w:divBdr>
        <w:top w:val="none" w:sz="0" w:space="0" w:color="auto"/>
        <w:left w:val="none" w:sz="0" w:space="0" w:color="auto"/>
        <w:bottom w:val="none" w:sz="0" w:space="0" w:color="auto"/>
        <w:right w:val="none" w:sz="0" w:space="0" w:color="auto"/>
      </w:divBdr>
    </w:div>
    <w:div w:id="1042486739">
      <w:bodyDiv w:val="1"/>
      <w:marLeft w:val="0"/>
      <w:marRight w:val="0"/>
      <w:marTop w:val="0"/>
      <w:marBottom w:val="0"/>
      <w:divBdr>
        <w:top w:val="none" w:sz="0" w:space="0" w:color="auto"/>
        <w:left w:val="none" w:sz="0" w:space="0" w:color="auto"/>
        <w:bottom w:val="none" w:sz="0" w:space="0" w:color="auto"/>
        <w:right w:val="none" w:sz="0" w:space="0" w:color="auto"/>
      </w:divBdr>
    </w:div>
    <w:div w:id="1133057799">
      <w:bodyDiv w:val="1"/>
      <w:marLeft w:val="0"/>
      <w:marRight w:val="0"/>
      <w:marTop w:val="0"/>
      <w:marBottom w:val="0"/>
      <w:divBdr>
        <w:top w:val="none" w:sz="0" w:space="0" w:color="auto"/>
        <w:left w:val="none" w:sz="0" w:space="0" w:color="auto"/>
        <w:bottom w:val="none" w:sz="0" w:space="0" w:color="auto"/>
        <w:right w:val="none" w:sz="0" w:space="0" w:color="auto"/>
      </w:divBdr>
    </w:div>
    <w:div w:id="1191069536">
      <w:bodyDiv w:val="1"/>
      <w:marLeft w:val="0"/>
      <w:marRight w:val="0"/>
      <w:marTop w:val="0"/>
      <w:marBottom w:val="0"/>
      <w:divBdr>
        <w:top w:val="none" w:sz="0" w:space="0" w:color="auto"/>
        <w:left w:val="none" w:sz="0" w:space="0" w:color="auto"/>
        <w:bottom w:val="none" w:sz="0" w:space="0" w:color="auto"/>
        <w:right w:val="none" w:sz="0" w:space="0" w:color="auto"/>
      </w:divBdr>
    </w:div>
    <w:div w:id="1274557548">
      <w:bodyDiv w:val="1"/>
      <w:marLeft w:val="0"/>
      <w:marRight w:val="0"/>
      <w:marTop w:val="0"/>
      <w:marBottom w:val="0"/>
      <w:divBdr>
        <w:top w:val="none" w:sz="0" w:space="0" w:color="auto"/>
        <w:left w:val="none" w:sz="0" w:space="0" w:color="auto"/>
        <w:bottom w:val="none" w:sz="0" w:space="0" w:color="auto"/>
        <w:right w:val="none" w:sz="0" w:space="0" w:color="auto"/>
      </w:divBdr>
    </w:div>
    <w:div w:id="1323969485">
      <w:bodyDiv w:val="1"/>
      <w:marLeft w:val="0"/>
      <w:marRight w:val="0"/>
      <w:marTop w:val="0"/>
      <w:marBottom w:val="0"/>
      <w:divBdr>
        <w:top w:val="none" w:sz="0" w:space="0" w:color="auto"/>
        <w:left w:val="none" w:sz="0" w:space="0" w:color="auto"/>
        <w:bottom w:val="none" w:sz="0" w:space="0" w:color="auto"/>
        <w:right w:val="none" w:sz="0" w:space="0" w:color="auto"/>
      </w:divBdr>
    </w:div>
    <w:div w:id="1377781991">
      <w:bodyDiv w:val="1"/>
      <w:marLeft w:val="0"/>
      <w:marRight w:val="0"/>
      <w:marTop w:val="0"/>
      <w:marBottom w:val="0"/>
      <w:divBdr>
        <w:top w:val="none" w:sz="0" w:space="0" w:color="auto"/>
        <w:left w:val="none" w:sz="0" w:space="0" w:color="auto"/>
        <w:bottom w:val="none" w:sz="0" w:space="0" w:color="auto"/>
        <w:right w:val="none" w:sz="0" w:space="0" w:color="auto"/>
      </w:divBdr>
    </w:div>
    <w:div w:id="1409762506">
      <w:bodyDiv w:val="1"/>
      <w:marLeft w:val="0"/>
      <w:marRight w:val="0"/>
      <w:marTop w:val="0"/>
      <w:marBottom w:val="0"/>
      <w:divBdr>
        <w:top w:val="none" w:sz="0" w:space="0" w:color="auto"/>
        <w:left w:val="none" w:sz="0" w:space="0" w:color="auto"/>
        <w:bottom w:val="none" w:sz="0" w:space="0" w:color="auto"/>
        <w:right w:val="none" w:sz="0" w:space="0" w:color="auto"/>
      </w:divBdr>
    </w:div>
    <w:div w:id="1418600200">
      <w:bodyDiv w:val="1"/>
      <w:marLeft w:val="0"/>
      <w:marRight w:val="0"/>
      <w:marTop w:val="0"/>
      <w:marBottom w:val="0"/>
      <w:divBdr>
        <w:top w:val="none" w:sz="0" w:space="0" w:color="auto"/>
        <w:left w:val="none" w:sz="0" w:space="0" w:color="auto"/>
        <w:bottom w:val="none" w:sz="0" w:space="0" w:color="auto"/>
        <w:right w:val="none" w:sz="0" w:space="0" w:color="auto"/>
      </w:divBdr>
    </w:div>
    <w:div w:id="1459257086">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599825630">
      <w:bodyDiv w:val="1"/>
      <w:marLeft w:val="0"/>
      <w:marRight w:val="0"/>
      <w:marTop w:val="0"/>
      <w:marBottom w:val="0"/>
      <w:divBdr>
        <w:top w:val="none" w:sz="0" w:space="0" w:color="auto"/>
        <w:left w:val="none" w:sz="0" w:space="0" w:color="auto"/>
        <w:bottom w:val="none" w:sz="0" w:space="0" w:color="auto"/>
        <w:right w:val="none" w:sz="0" w:space="0" w:color="auto"/>
      </w:divBdr>
    </w:div>
    <w:div w:id="1661040290">
      <w:bodyDiv w:val="1"/>
      <w:marLeft w:val="0"/>
      <w:marRight w:val="0"/>
      <w:marTop w:val="0"/>
      <w:marBottom w:val="0"/>
      <w:divBdr>
        <w:top w:val="none" w:sz="0" w:space="0" w:color="auto"/>
        <w:left w:val="none" w:sz="0" w:space="0" w:color="auto"/>
        <w:bottom w:val="none" w:sz="0" w:space="0" w:color="auto"/>
        <w:right w:val="none" w:sz="0" w:space="0" w:color="auto"/>
      </w:divBdr>
    </w:div>
    <w:div w:id="1729374859">
      <w:bodyDiv w:val="1"/>
      <w:marLeft w:val="0"/>
      <w:marRight w:val="0"/>
      <w:marTop w:val="0"/>
      <w:marBottom w:val="0"/>
      <w:divBdr>
        <w:top w:val="none" w:sz="0" w:space="0" w:color="auto"/>
        <w:left w:val="none" w:sz="0" w:space="0" w:color="auto"/>
        <w:bottom w:val="none" w:sz="0" w:space="0" w:color="auto"/>
        <w:right w:val="none" w:sz="0" w:space="0" w:color="auto"/>
      </w:divBdr>
    </w:div>
    <w:div w:id="1746293801">
      <w:bodyDiv w:val="1"/>
      <w:marLeft w:val="0"/>
      <w:marRight w:val="0"/>
      <w:marTop w:val="0"/>
      <w:marBottom w:val="0"/>
      <w:divBdr>
        <w:top w:val="none" w:sz="0" w:space="0" w:color="auto"/>
        <w:left w:val="none" w:sz="0" w:space="0" w:color="auto"/>
        <w:bottom w:val="none" w:sz="0" w:space="0" w:color="auto"/>
        <w:right w:val="none" w:sz="0" w:space="0" w:color="auto"/>
      </w:divBdr>
    </w:div>
    <w:div w:id="1860777600">
      <w:bodyDiv w:val="1"/>
      <w:marLeft w:val="0"/>
      <w:marRight w:val="0"/>
      <w:marTop w:val="0"/>
      <w:marBottom w:val="0"/>
      <w:divBdr>
        <w:top w:val="none" w:sz="0" w:space="0" w:color="auto"/>
        <w:left w:val="none" w:sz="0" w:space="0" w:color="auto"/>
        <w:bottom w:val="none" w:sz="0" w:space="0" w:color="auto"/>
        <w:right w:val="none" w:sz="0" w:space="0" w:color="auto"/>
      </w:divBdr>
    </w:div>
    <w:div w:id="2076275037">
      <w:bodyDiv w:val="1"/>
      <w:marLeft w:val="0"/>
      <w:marRight w:val="0"/>
      <w:marTop w:val="0"/>
      <w:marBottom w:val="0"/>
      <w:divBdr>
        <w:top w:val="none" w:sz="0" w:space="0" w:color="auto"/>
        <w:left w:val="none" w:sz="0" w:space="0" w:color="auto"/>
        <w:bottom w:val="none" w:sz="0" w:space="0" w:color="auto"/>
        <w:right w:val="none" w:sz="0" w:space="0" w:color="auto"/>
      </w:divBdr>
    </w:div>
    <w:div w:id="209813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9352-CD27-4F49-B068-AE0719F6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6</Pages>
  <Words>1951</Words>
  <Characters>11123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24</cp:revision>
  <cp:lastPrinted>2023-03-22T06:40:00Z</cp:lastPrinted>
  <dcterms:created xsi:type="dcterms:W3CDTF">2022-05-13T08:08:00Z</dcterms:created>
  <dcterms:modified xsi:type="dcterms:W3CDTF">2025-03-25T18:21:00Z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