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FD16" w14:textId="17260599" w:rsidR="00EB4E55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bCs/>
          <w:lang w:eastAsia="tr-TR"/>
        </w:rPr>
      </w:pP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ENERYA </w:t>
      </w:r>
      <w:r w:rsidR="005A6505">
        <w:rPr>
          <w:rFonts w:ascii="Cambria" w:eastAsia="Times New Roman" w:hAnsi="Cambria" w:cstheme="minorHAnsi"/>
          <w:b/>
          <w:bCs/>
          <w:lang w:eastAsia="tr-TR"/>
        </w:rPr>
        <w:t>DENİZLİ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 xml:space="preserve"> GAZ DAĞITIM ANONİM ŞİRKETİ</w:t>
      </w:r>
      <w:r w:rsidR="00B92A23" w:rsidRPr="00B92A23">
        <w:rPr>
          <w:rFonts w:ascii="Cambria" w:eastAsia="Times New Roman" w:hAnsi="Cambria" w:cstheme="minorHAnsi"/>
          <w:b/>
          <w:bCs/>
          <w:lang w:eastAsia="tr-TR"/>
        </w:rPr>
        <w:t>’</w:t>
      </w:r>
      <w:r w:rsidRPr="00B92A23">
        <w:rPr>
          <w:rFonts w:ascii="Cambria" w:eastAsia="Times New Roman" w:hAnsi="Cambria" w:cstheme="minorHAnsi"/>
          <w:b/>
          <w:bCs/>
          <w:lang w:eastAsia="tr-TR"/>
        </w:rPr>
        <w:t>NDEN</w:t>
      </w:r>
    </w:p>
    <w:p w14:paraId="59B00098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013AB9F" w14:textId="231C8262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Şirketimizin </w:t>
      </w:r>
      <w:r w:rsidR="000E5BB0">
        <w:rPr>
          <w:rFonts w:ascii="Cambria" w:eastAsia="Times New Roman" w:hAnsi="Cambria" w:cstheme="minorHAnsi"/>
          <w:color w:val="000000"/>
          <w:lang w:eastAsia="tr-TR"/>
        </w:rPr>
        <w:t>Ekim</w:t>
      </w:r>
      <w:r w:rsidR="00E905AA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9342C0">
        <w:rPr>
          <w:rFonts w:ascii="Cambria" w:eastAsia="Times New Roman" w:hAnsi="Cambria" w:cstheme="minorHAnsi"/>
          <w:color w:val="000000"/>
          <w:lang w:eastAsia="tr-TR"/>
        </w:rPr>
        <w:t>2022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 – </w:t>
      </w:r>
      <w:r w:rsidR="000E5BB0">
        <w:rPr>
          <w:rFonts w:ascii="Cambria" w:eastAsia="Times New Roman" w:hAnsi="Cambria" w:cstheme="minorHAnsi"/>
          <w:color w:val="000000"/>
          <w:lang w:eastAsia="tr-TR"/>
        </w:rPr>
        <w:t>Eylül</w:t>
      </w:r>
      <w:r w:rsidR="00E905AA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5849BD">
        <w:rPr>
          <w:rFonts w:ascii="Cambria" w:eastAsia="Times New Roman" w:hAnsi="Cambria" w:cstheme="minorHAnsi"/>
          <w:color w:val="000000"/>
          <w:lang w:eastAsia="tr-TR"/>
        </w:rPr>
        <w:t xml:space="preserve">2023 </w:t>
      </w:r>
      <w:r w:rsidR="008F1581">
        <w:rPr>
          <w:rFonts w:ascii="Cambria" w:eastAsia="Times New Roman" w:hAnsi="Cambria" w:cstheme="minorHAnsi"/>
          <w:color w:val="000000"/>
          <w:lang w:eastAsia="tr-TR"/>
        </w:rPr>
        <w:t>yılına</w:t>
      </w:r>
      <w:r w:rsidR="009E770D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ilişkin olarak satın alacağı S</w:t>
      </w:r>
      <w:r w:rsidR="00147AC6" w:rsidRPr="00B92A23">
        <w:rPr>
          <w:rFonts w:ascii="Cambria" w:eastAsia="Times New Roman" w:hAnsi="Cambria" w:cstheme="minorHAnsi"/>
          <w:color w:val="000000"/>
          <w:lang w:eastAsia="tr-TR"/>
        </w:rPr>
        <w:t>ıkıştırılmış Doğal Gaz (C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NG) alımı ihalesi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Kurumunun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 xml:space="preserve">(EPDK) </w:t>
      </w:r>
      <w:r w:rsidR="003F7065">
        <w:rPr>
          <w:rFonts w:ascii="Cambria" w:eastAsia="Times New Roman" w:hAnsi="Cambria" w:cstheme="minorHAnsi"/>
          <w:color w:val="000000"/>
          <w:lang w:eastAsia="tr-TR"/>
        </w:rPr>
        <w:t>7110-7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7364</w:t>
      </w:r>
      <w:r w:rsidR="00BD342A">
        <w:rPr>
          <w:rFonts w:ascii="Cambria" w:eastAsia="Times New Roman" w:hAnsi="Cambria" w:cstheme="minorHAnsi"/>
          <w:color w:val="000000"/>
          <w:lang w:eastAsia="tr-TR"/>
        </w:rPr>
        <w:t>, 8777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 xml:space="preserve"> sayılı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K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arar</w:t>
      </w:r>
      <w:r w:rsidR="007B4323" w:rsidRPr="00B92A23">
        <w:rPr>
          <w:rFonts w:ascii="Cambria" w:eastAsia="Times New Roman" w:hAnsi="Cambria" w:cstheme="minorHAnsi"/>
          <w:color w:val="000000"/>
          <w:lang w:eastAsia="tr-TR"/>
        </w:rPr>
        <w:t>ların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daki esaslar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>dahilinde</w:t>
      </w:r>
      <w:proofErr w:type="gramEnd"/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Kapalı </w:t>
      </w:r>
      <w:r w:rsidR="00B92A23" w:rsidRPr="00B92A23">
        <w:rPr>
          <w:rFonts w:ascii="Cambria" w:eastAsia="Times New Roman" w:hAnsi="Cambria" w:cstheme="minorHAnsi"/>
          <w:color w:val="000000"/>
          <w:lang w:eastAsia="tr-TR"/>
        </w:rPr>
        <w:t>Z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arf ve Açık Eksiltme Usulü ile yapılacaktır.</w:t>
      </w:r>
    </w:p>
    <w:p w14:paraId="1DABDBE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51F673C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1 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B43AF3" w:rsidRPr="00B92A23">
        <w:rPr>
          <w:rFonts w:ascii="Cambria" w:eastAsia="Times New Roman" w:hAnsi="Cambria" w:cstheme="minorHAnsi"/>
          <w:color w:val="000000"/>
          <w:lang w:eastAsia="tr-TR"/>
        </w:rPr>
        <w:t>İhaleyi Düzenleyen Şirket</w:t>
      </w:r>
    </w:p>
    <w:p w14:paraId="00C8457D" w14:textId="6E399F99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Firma </w:t>
      </w:r>
      <w:proofErr w:type="spellStart"/>
      <w:proofErr w:type="gramStart"/>
      <w:r w:rsidRPr="00B92A23">
        <w:rPr>
          <w:rFonts w:ascii="Cambria" w:hAnsi="Cambria" w:cstheme="minorHAnsi"/>
          <w:color w:val="000000"/>
          <w:sz w:val="22"/>
          <w:szCs w:val="22"/>
        </w:rPr>
        <w:t>ünvanı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: ENERYA</w:t>
      </w:r>
      <w:proofErr w:type="gramEnd"/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5A6505">
        <w:rPr>
          <w:rFonts w:ascii="Cambria" w:hAnsi="Cambria" w:cstheme="minorHAnsi"/>
          <w:color w:val="000000"/>
          <w:sz w:val="22"/>
          <w:szCs w:val="22"/>
        </w:rPr>
        <w:t>DENİZLİ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GAZ DAĞITIM A.Ş</w:t>
      </w:r>
    </w:p>
    <w:p w14:paraId="69712201" w14:textId="77777777" w:rsidR="000679F5" w:rsidRDefault="000679F5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İçerenköy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Yeşilvadi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 xml:space="preserve"> Sokak, No: 3, Kat:4, </w:t>
      </w:r>
      <w:proofErr w:type="spellStart"/>
      <w:r w:rsidRPr="00AA02EA">
        <w:rPr>
          <w:rFonts w:ascii="Cambria" w:hAnsi="Cambria" w:cstheme="minorHAnsi"/>
          <w:color w:val="000000"/>
          <w:sz w:val="22"/>
          <w:szCs w:val="22"/>
        </w:rPr>
        <w:t>Ataşehir</w:t>
      </w:r>
      <w:proofErr w:type="spellEnd"/>
      <w:r w:rsidRPr="00AA02EA">
        <w:rPr>
          <w:rFonts w:ascii="Cambria" w:hAnsi="Cambria" w:cstheme="minorHAnsi"/>
          <w:color w:val="000000"/>
          <w:sz w:val="22"/>
          <w:szCs w:val="22"/>
        </w:rPr>
        <w:t>, İstanbul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1153EDB4" w14:textId="42ED5373" w:rsidR="00B43AF3" w:rsidRPr="00B92A23" w:rsidRDefault="00B43AF3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Tel </w:t>
      </w:r>
      <w:r w:rsidR="005A6505">
        <w:rPr>
          <w:rFonts w:ascii="Cambria" w:hAnsi="Cambria" w:cstheme="minorHAnsi"/>
          <w:color w:val="000000"/>
          <w:sz w:val="22"/>
          <w:szCs w:val="22"/>
        </w:rPr>
        <w:t>: (258) 295 98 70</w:t>
      </w:r>
    </w:p>
    <w:p w14:paraId="5BD2D3FD" w14:textId="69672F10" w:rsidR="00B43AF3" w:rsidRPr="00B92A23" w:rsidRDefault="00852E0B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proofErr w:type="spellStart"/>
      <w:r w:rsidRPr="00B92A23">
        <w:rPr>
          <w:rFonts w:ascii="Cambria" w:hAnsi="Cambria" w:cstheme="minorHAnsi"/>
          <w:color w:val="000000"/>
          <w:sz w:val="22"/>
          <w:szCs w:val="22"/>
        </w:rPr>
        <w:t>Fax</w:t>
      </w:r>
      <w:proofErr w:type="spellEnd"/>
      <w:r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0679F5" w:rsidRPr="000679F5">
        <w:t xml:space="preserve"> 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>(2</w:t>
      </w:r>
      <w:r w:rsidR="005A6505">
        <w:rPr>
          <w:rFonts w:ascii="Cambria" w:hAnsi="Cambria" w:cstheme="minorHAnsi"/>
          <w:color w:val="000000"/>
          <w:sz w:val="22"/>
          <w:szCs w:val="22"/>
        </w:rPr>
        <w:t>58</w:t>
      </w:r>
      <w:r w:rsidR="000679F5" w:rsidRPr="00AA02EA">
        <w:rPr>
          <w:rFonts w:ascii="Cambria" w:hAnsi="Cambria" w:cstheme="minorHAnsi"/>
          <w:color w:val="000000"/>
          <w:sz w:val="22"/>
          <w:szCs w:val="22"/>
        </w:rPr>
        <w:t xml:space="preserve">) </w:t>
      </w:r>
      <w:r w:rsidR="005A6505">
        <w:rPr>
          <w:rFonts w:ascii="Cambria" w:hAnsi="Cambria" w:cstheme="minorHAnsi"/>
          <w:color w:val="000000"/>
          <w:sz w:val="22"/>
          <w:szCs w:val="22"/>
        </w:rPr>
        <w:t>261 56 00</w:t>
      </w:r>
    </w:p>
    <w:p w14:paraId="421B7EF1" w14:textId="78F5B75C" w:rsidR="007E0D4B" w:rsidRPr="00B92A23" w:rsidRDefault="00313E3F" w:rsidP="00BB0ADA">
      <w:pPr>
        <w:pStyle w:val="ListeParagraf"/>
        <w:numPr>
          <w:ilvl w:val="0"/>
          <w:numId w:val="2"/>
        </w:numPr>
        <w:snapToGrid w:val="0"/>
        <w:ind w:right="-567"/>
        <w:contextualSpacing w:val="0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Elektronik posta adresi: </w:t>
      </w:r>
      <w:hyperlink r:id="rId6" w:history="1">
        <w:r w:rsidR="005A6505" w:rsidRPr="00AE091A">
          <w:rPr>
            <w:rStyle w:val="Kpr"/>
            <w:rFonts w:ascii="Cambria" w:hAnsi="Cambria" w:cstheme="minorHAnsi"/>
            <w:sz w:val="22"/>
            <w:szCs w:val="22"/>
          </w:rPr>
          <w:t>enerya.denizli@hs02.kep.tr</w:t>
        </w:r>
      </w:hyperlink>
      <w:r w:rsidR="007E0D4B" w:rsidRPr="00B92A23">
        <w:rPr>
          <w:rFonts w:ascii="Cambria" w:hAnsi="Cambria" w:cstheme="minorHAnsi"/>
          <w:color w:val="000000"/>
          <w:sz w:val="22"/>
          <w:szCs w:val="22"/>
        </w:rPr>
        <w:t xml:space="preserve">  </w:t>
      </w:r>
    </w:p>
    <w:p w14:paraId="33E1C69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78D0717" w14:textId="64C40BCA" w:rsidR="00EB4E55" w:rsidRPr="00B92A23" w:rsidRDefault="00071923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2 – İhale/Teklif 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>konusu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;</w:t>
      </w:r>
    </w:p>
    <w:p w14:paraId="7855F4F0" w14:textId="5F4CF8C7" w:rsidR="00EB4E55" w:rsidRPr="00B92A23" w:rsidRDefault="0007192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Adı</w:t>
      </w:r>
      <w:r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C</w:t>
      </w:r>
      <w:r w:rsidRPr="00B92A23">
        <w:rPr>
          <w:rFonts w:ascii="Cambria" w:hAnsi="Cambria" w:cstheme="minorHAnsi"/>
          <w:color w:val="000000"/>
          <w:sz w:val="22"/>
          <w:szCs w:val="22"/>
        </w:rPr>
        <w:t>NG (</w:t>
      </w:r>
      <w:r w:rsidR="00147AC6" w:rsidRPr="00B92A23">
        <w:rPr>
          <w:rFonts w:ascii="Cambria" w:hAnsi="Cambria" w:cstheme="minorHAnsi"/>
          <w:color w:val="000000"/>
          <w:sz w:val="22"/>
          <w:szCs w:val="22"/>
        </w:rPr>
        <w:t>Sıkıştırılmış</w:t>
      </w: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 Doğal Gaz) </w:t>
      </w:r>
      <w:r w:rsidR="00951C67" w:rsidRPr="00B92A23">
        <w:rPr>
          <w:rFonts w:ascii="Cambria" w:hAnsi="Cambria" w:cstheme="minorHAnsi"/>
          <w:color w:val="000000"/>
          <w:sz w:val="22"/>
          <w:szCs w:val="22"/>
        </w:rPr>
        <w:t>Alımı</w:t>
      </w:r>
    </w:p>
    <w:p w14:paraId="14A2977F" w14:textId="7D39A2AD" w:rsidR="00EB4E55" w:rsidRPr="00B92A23" w:rsidRDefault="00B43AF3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M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iktarı 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>(Fiziki) ve Türü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Teknik </w:t>
      </w:r>
      <w:r w:rsidR="00CC6DCB" w:rsidRPr="00B92A23">
        <w:rPr>
          <w:rFonts w:ascii="Cambria" w:hAnsi="Cambria" w:cstheme="minorHAnsi"/>
          <w:color w:val="000000"/>
          <w:sz w:val="22"/>
          <w:szCs w:val="22"/>
        </w:rPr>
        <w:t>Şartnamede belirtilmiştir.</w:t>
      </w:r>
    </w:p>
    <w:p w14:paraId="3C9AA3CD" w14:textId="3BDE1559" w:rsidR="00C10C35" w:rsidRP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Enerya </w:t>
      </w:r>
      <w:r w:rsidR="005A6505">
        <w:rPr>
          <w:rFonts w:ascii="Cambria" w:hAnsi="Cambria" w:cstheme="minorHAnsi"/>
          <w:color w:val="000000"/>
          <w:sz w:val="22"/>
          <w:szCs w:val="22"/>
        </w:rPr>
        <w:t>Denizli</w:t>
      </w:r>
      <w:r w:rsidR="000679F5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071923" w:rsidRPr="00B92A23">
        <w:rPr>
          <w:rFonts w:ascii="Cambria" w:hAnsi="Cambria" w:cstheme="minorHAnsi"/>
          <w:color w:val="000000"/>
          <w:sz w:val="22"/>
          <w:szCs w:val="22"/>
        </w:rPr>
        <w:t xml:space="preserve">Gaz Dağıtım A.Ş. </w:t>
      </w:r>
      <w:r>
        <w:rPr>
          <w:rFonts w:ascii="Cambria" w:hAnsi="Cambria" w:cstheme="minorHAnsi"/>
          <w:color w:val="000000"/>
          <w:sz w:val="22"/>
          <w:szCs w:val="22"/>
        </w:rPr>
        <w:t>Dağıtım Lisans Sınırları İçi</w:t>
      </w:r>
      <w:r w:rsidR="00C10C35" w:rsidRPr="00B92A23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6E9BE110" w14:textId="4E5085E3" w:rsidR="00B92A23" w:rsidRDefault="00765079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Teslim Noktaları</w:t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 xml:space="preserve"> Adres</w:t>
      </w:r>
      <w:r w:rsidR="00B92A23" w:rsidRPr="00B92A23">
        <w:rPr>
          <w:rFonts w:ascii="Cambria" w:hAnsi="Cambria" w:cstheme="minorHAnsi"/>
          <w:color w:val="000000"/>
          <w:sz w:val="22"/>
          <w:szCs w:val="22"/>
        </w:rPr>
        <w:tab/>
      </w:r>
      <w:r w:rsidR="00852E0B" w:rsidRPr="00B92A23">
        <w:rPr>
          <w:rFonts w:ascii="Cambria" w:hAnsi="Cambria" w:cstheme="minorHAnsi"/>
          <w:color w:val="000000"/>
          <w:sz w:val="22"/>
          <w:szCs w:val="22"/>
        </w:rPr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E905AA" w:rsidRPr="00E905AA">
        <w:rPr>
          <w:rFonts w:ascii="Cambria" w:hAnsi="Cambria" w:cstheme="minorHAnsi"/>
          <w:color w:val="000000"/>
          <w:sz w:val="22"/>
          <w:szCs w:val="22"/>
        </w:rPr>
        <w:t>Buldan, Çal, Çameli, Bozkurt</w:t>
      </w:r>
      <w:r w:rsidR="00E905AA">
        <w:rPr>
          <w:rFonts w:ascii="Cambria" w:hAnsi="Cambria" w:cstheme="minorHAnsi"/>
          <w:color w:val="000000"/>
          <w:sz w:val="22"/>
          <w:szCs w:val="22"/>
        </w:rPr>
        <w:t>,</w:t>
      </w:r>
      <w:r w:rsidR="00CF66B5">
        <w:rPr>
          <w:rFonts w:ascii="Cambria" w:hAnsi="Cambria" w:cstheme="minorHAnsi"/>
          <w:color w:val="000000"/>
          <w:sz w:val="22"/>
          <w:szCs w:val="22"/>
        </w:rPr>
        <w:t xml:space="preserve"> Baklan,</w:t>
      </w:r>
      <w:r w:rsidR="00E905AA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E905AA" w:rsidRPr="00E905AA">
        <w:rPr>
          <w:rFonts w:ascii="Cambria" w:hAnsi="Cambria" w:cstheme="minorHAnsi"/>
          <w:color w:val="000000"/>
          <w:sz w:val="22"/>
          <w:szCs w:val="22"/>
        </w:rPr>
        <w:t>Kale</w:t>
      </w:r>
      <w:r w:rsidR="005A6505">
        <w:rPr>
          <w:rFonts w:ascii="Cambria" w:hAnsi="Cambria" w:cstheme="minorHAnsi"/>
          <w:color w:val="000000"/>
          <w:sz w:val="22"/>
          <w:szCs w:val="22"/>
        </w:rPr>
        <w:t>/ DENİZLİ</w:t>
      </w:r>
    </w:p>
    <w:p w14:paraId="28C25999" w14:textId="73DAC67F" w:rsidR="009E770D" w:rsidRPr="009E770D" w:rsidRDefault="009E770D" w:rsidP="009E770D">
      <w:pPr>
        <w:pStyle w:val="DzMetin"/>
        <w:ind w:left="3120" w:firstLine="708"/>
      </w:pPr>
    </w:p>
    <w:p w14:paraId="0EBAF85B" w14:textId="4360898A" w:rsidR="00CC6DCB" w:rsidRPr="00B92A23" w:rsidRDefault="00C10C35" w:rsidP="00BB0ADA">
      <w:pPr>
        <w:pStyle w:val="ListeParagraf"/>
        <w:numPr>
          <w:ilvl w:val="0"/>
          <w:numId w:val="8"/>
        </w:numPr>
        <w:tabs>
          <w:tab w:val="clear" w:pos="825"/>
          <w:tab w:val="left" w:pos="851"/>
          <w:tab w:val="num" w:pos="3544"/>
          <w:tab w:val="left" w:pos="3828"/>
        </w:tabs>
        <w:snapToGrid w:val="0"/>
        <w:ind w:left="3828" w:right="-567" w:hanging="3468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 xml:space="preserve">Tedarik 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>süresi</w:t>
      </w:r>
      <w:r w:rsidR="00EB4E55" w:rsidRPr="00B92A23">
        <w:rPr>
          <w:rFonts w:ascii="Cambria" w:hAnsi="Cambria" w:cstheme="minorHAnsi"/>
          <w:color w:val="000000"/>
          <w:sz w:val="22"/>
          <w:szCs w:val="22"/>
        </w:rPr>
        <w:tab/>
        <w:t>:</w:t>
      </w:r>
      <w:r w:rsidR="00B92A23">
        <w:rPr>
          <w:rFonts w:ascii="Cambria" w:hAnsi="Cambria" w:cstheme="minorHAnsi"/>
          <w:color w:val="000000"/>
          <w:sz w:val="22"/>
          <w:szCs w:val="22"/>
        </w:rPr>
        <w:tab/>
      </w:r>
      <w:r w:rsidR="000E5BB0">
        <w:rPr>
          <w:rFonts w:ascii="Cambria" w:hAnsi="Cambria" w:cstheme="minorHAnsi"/>
          <w:color w:val="000000"/>
          <w:sz w:val="22"/>
          <w:szCs w:val="22"/>
        </w:rPr>
        <w:t>Ekim</w:t>
      </w:r>
      <w:r w:rsidR="00E905AA" w:rsidRPr="00E905AA">
        <w:rPr>
          <w:rFonts w:ascii="Cambria" w:hAnsi="Cambria" w:cstheme="minorHAnsi"/>
          <w:color w:val="000000"/>
          <w:sz w:val="22"/>
          <w:szCs w:val="22"/>
        </w:rPr>
        <w:t xml:space="preserve"> 2022 – </w:t>
      </w:r>
      <w:r w:rsidR="000E5BB0">
        <w:rPr>
          <w:rFonts w:ascii="Cambria" w:hAnsi="Cambria" w:cstheme="minorHAnsi"/>
          <w:color w:val="000000"/>
          <w:sz w:val="22"/>
          <w:szCs w:val="22"/>
        </w:rPr>
        <w:t>Eylül</w:t>
      </w:r>
      <w:r w:rsidR="00E905AA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E905AA" w:rsidRPr="00E905AA">
        <w:rPr>
          <w:rFonts w:ascii="Cambria" w:hAnsi="Cambria" w:cstheme="minorHAnsi"/>
          <w:color w:val="000000"/>
          <w:sz w:val="22"/>
          <w:szCs w:val="22"/>
        </w:rPr>
        <w:t>2023</w:t>
      </w:r>
    </w:p>
    <w:p w14:paraId="35D680D1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118AFE4" w14:textId="77777777" w:rsidR="00AC1148" w:rsidRPr="00B92A23" w:rsidRDefault="00B43AF3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3-</w:t>
      </w:r>
      <w:r w:rsidR="00071923" w:rsidRPr="00B92A23">
        <w:rPr>
          <w:rFonts w:ascii="Cambria" w:hAnsi="Cambria" w:cstheme="minorHAnsi"/>
          <w:color w:val="000000"/>
        </w:rPr>
        <w:t>İhalenin;</w:t>
      </w:r>
    </w:p>
    <w:p w14:paraId="2B2068C3" w14:textId="0F4B9931" w:rsidR="00923169" w:rsidRPr="00B92A23" w:rsidRDefault="00071923" w:rsidP="005C7DC5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a)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Yapılacağı Yer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  <w:t xml:space="preserve">: Enerya </w:t>
      </w:r>
      <w:r w:rsidR="005A6505">
        <w:rPr>
          <w:rFonts w:ascii="Cambria" w:hAnsi="Cambria" w:cstheme="minorHAnsi"/>
          <w:color w:val="000000"/>
        </w:rPr>
        <w:t>Denizli</w:t>
      </w:r>
      <w:r w:rsidR="00147AC6" w:rsidRPr="00B92A23">
        <w:rPr>
          <w:rFonts w:ascii="Cambria" w:hAnsi="Cambria" w:cstheme="minorHAnsi"/>
          <w:color w:val="000000"/>
        </w:rPr>
        <w:t xml:space="preserve"> G</w:t>
      </w:r>
      <w:r w:rsidR="00852E0B" w:rsidRPr="00B92A23">
        <w:rPr>
          <w:rFonts w:ascii="Cambria" w:hAnsi="Cambria" w:cstheme="minorHAnsi"/>
          <w:color w:val="000000"/>
        </w:rPr>
        <w:t xml:space="preserve">az Dağıtım A.Ş. Şube -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AA02EA">
        <w:rPr>
          <w:rFonts w:ascii="Cambria" w:hAnsi="Cambria" w:cstheme="minorHAnsi"/>
          <w:color w:val="000000"/>
        </w:rPr>
        <w:t xml:space="preserve"> </w:t>
      </w:r>
      <w:proofErr w:type="spellStart"/>
      <w:r w:rsidR="00AA02EA">
        <w:rPr>
          <w:rFonts w:ascii="Cambria" w:hAnsi="Cambria" w:cstheme="minorHAnsi"/>
          <w:color w:val="000000"/>
        </w:rPr>
        <w:t>Yeşilvadi</w:t>
      </w:r>
      <w:proofErr w:type="spellEnd"/>
      <w:r w:rsidR="00AA02EA">
        <w:rPr>
          <w:rFonts w:ascii="Cambria" w:hAnsi="Cambria" w:cstheme="minorHAnsi"/>
          <w:color w:val="000000"/>
        </w:rPr>
        <w:t xml:space="preserve"> Sokak No:3/4</w:t>
      </w:r>
      <w:r w:rsidRPr="00B92A23">
        <w:rPr>
          <w:rFonts w:ascii="Cambria" w:hAnsi="Cambria" w:cstheme="minorHAnsi"/>
          <w:color w:val="000000"/>
        </w:rPr>
        <w:t xml:space="preserve"> </w:t>
      </w:r>
    </w:p>
    <w:p w14:paraId="155FDDC1" w14:textId="24BB0563" w:rsidR="00FB7E18" w:rsidRPr="00B92A23" w:rsidRDefault="00923169" w:rsidP="00BB0ADA">
      <w:pPr>
        <w:snapToGrid w:val="0"/>
        <w:spacing w:after="0" w:line="240" w:lineRule="auto"/>
        <w:ind w:left="2124" w:right="-567" w:firstLine="708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 xml:space="preserve">  </w:t>
      </w:r>
      <w:proofErr w:type="spellStart"/>
      <w:r w:rsidR="00071923" w:rsidRPr="00B92A23">
        <w:rPr>
          <w:rFonts w:ascii="Cambria" w:hAnsi="Cambria" w:cstheme="minorHAnsi"/>
          <w:color w:val="000000"/>
        </w:rPr>
        <w:t>Ataşehir</w:t>
      </w:r>
      <w:proofErr w:type="spellEnd"/>
      <w:r w:rsidR="00071923" w:rsidRPr="00B92A23">
        <w:rPr>
          <w:rFonts w:ascii="Cambria" w:hAnsi="Cambria" w:cstheme="minorHAnsi"/>
          <w:color w:val="000000"/>
        </w:rPr>
        <w:t xml:space="preserve"> /İ</w:t>
      </w:r>
      <w:r w:rsidR="00FB7E18" w:rsidRPr="00B92A23">
        <w:rPr>
          <w:rFonts w:ascii="Cambria" w:hAnsi="Cambria" w:cstheme="minorHAnsi"/>
          <w:color w:val="000000"/>
        </w:rPr>
        <w:t xml:space="preserve">stanbul adresi </w:t>
      </w:r>
    </w:p>
    <w:p w14:paraId="19CAFD16" w14:textId="5FEABACE" w:rsidR="00CE60C4" w:rsidRPr="00B92A23" w:rsidRDefault="00147AC6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hAnsi="Cambria" w:cstheme="minorHAnsi"/>
          <w:color w:val="000000"/>
        </w:rPr>
        <w:t>b)</w:t>
      </w:r>
      <w:r w:rsidR="00B92A23">
        <w:rPr>
          <w:rFonts w:ascii="Cambria" w:hAnsi="Cambria" w:cstheme="minorHAnsi"/>
          <w:color w:val="000000"/>
        </w:rPr>
        <w:t xml:space="preserve"> </w:t>
      </w:r>
      <w:r w:rsidRPr="00B92A23">
        <w:rPr>
          <w:rFonts w:ascii="Cambria" w:hAnsi="Cambria" w:cstheme="minorHAnsi"/>
          <w:color w:val="000000"/>
        </w:rPr>
        <w:t>Tarihi ve saati</w:t>
      </w:r>
      <w:r w:rsidRPr="00B92A23">
        <w:rPr>
          <w:rFonts w:ascii="Cambria" w:hAnsi="Cambria" w:cstheme="minorHAnsi"/>
          <w:color w:val="000000"/>
        </w:rPr>
        <w:tab/>
      </w:r>
      <w:r w:rsidRPr="00B92A23">
        <w:rPr>
          <w:rFonts w:ascii="Cambria" w:hAnsi="Cambria" w:cstheme="minorHAnsi"/>
          <w:color w:val="000000"/>
        </w:rPr>
        <w:tab/>
      </w:r>
      <w:r w:rsidRPr="00AA02EA">
        <w:rPr>
          <w:rFonts w:ascii="Cambria" w:hAnsi="Cambria" w:cstheme="minorHAnsi"/>
        </w:rPr>
        <w:t xml:space="preserve">: </w:t>
      </w:r>
      <w:r w:rsidR="000E5BB0">
        <w:rPr>
          <w:rFonts w:ascii="Cambria" w:hAnsi="Cambria" w:cstheme="minorHAnsi"/>
        </w:rPr>
        <w:t>27.</w:t>
      </w:r>
      <w:bookmarkStart w:id="0" w:name="_GoBack"/>
      <w:bookmarkEnd w:id="0"/>
      <w:r w:rsidR="000E5BB0">
        <w:rPr>
          <w:rFonts w:ascii="Cambria" w:hAnsi="Cambria" w:cstheme="minorHAnsi"/>
        </w:rPr>
        <w:t>09</w:t>
      </w:r>
      <w:r w:rsidR="005849BD">
        <w:rPr>
          <w:rFonts w:ascii="Cambria" w:hAnsi="Cambria" w:cstheme="minorHAnsi"/>
        </w:rPr>
        <w:t>.2022</w:t>
      </w:r>
      <w:r w:rsidR="00FB7E18" w:rsidRPr="00AA02EA">
        <w:rPr>
          <w:rFonts w:ascii="Cambria" w:hAnsi="Cambria" w:cstheme="minorHAnsi"/>
        </w:rPr>
        <w:t xml:space="preserve"> – Saat: </w:t>
      </w:r>
      <w:r w:rsidR="00663DB3">
        <w:rPr>
          <w:rFonts w:ascii="Cambria" w:hAnsi="Cambria" w:cstheme="minorHAnsi"/>
        </w:rPr>
        <w:t>10</w:t>
      </w:r>
      <w:r w:rsidR="00AA02EA" w:rsidRPr="00AA02EA">
        <w:rPr>
          <w:rFonts w:ascii="Cambria" w:hAnsi="Cambria" w:cstheme="minorHAnsi"/>
        </w:rPr>
        <w:t>:00</w:t>
      </w:r>
      <w:r w:rsidR="00CE60C4" w:rsidRPr="00AA02EA">
        <w:rPr>
          <w:rFonts w:ascii="Cambria" w:hAnsi="Cambria" w:cstheme="minorHAnsi"/>
        </w:rPr>
        <w:t xml:space="preserve"> </w:t>
      </w:r>
    </w:p>
    <w:p w14:paraId="1B5BE729" w14:textId="77777777" w:rsidR="00EB4E55" w:rsidRPr="00B92A23" w:rsidRDefault="00CC6DCB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</w:p>
    <w:p w14:paraId="2FBFC788" w14:textId="03DA56E7" w:rsidR="00EB4E55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4 - İhaleye katılabilmek için gereken belgeler ve yeterlik </w:t>
      </w:r>
      <w:proofErr w:type="gramStart"/>
      <w:r w:rsidRPr="00B92A23">
        <w:rPr>
          <w:rFonts w:ascii="Cambria" w:eastAsia="Times New Roman" w:hAnsi="Cambria" w:cstheme="minorHAnsi"/>
          <w:color w:val="000000"/>
          <w:lang w:eastAsia="tr-TR"/>
        </w:rPr>
        <w:t>kriterleri</w:t>
      </w:r>
      <w:proofErr w:type="gramEnd"/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Ş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>artnamede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,</w:t>
      </w:r>
      <w:r w:rsidR="00CC6DCB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işin teknik özellikleri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 xml:space="preserve"> ve miktarı Teknik Ş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artnamede belirtilmiştir.</w:t>
      </w:r>
    </w:p>
    <w:p w14:paraId="6B566E01" w14:textId="77777777" w:rsidR="00FB7E18" w:rsidRPr="00B92A23" w:rsidRDefault="00FB7E18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DC70A65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5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İsteklilerin, ihaleye katılabilmeleri için </w:t>
      </w:r>
      <w:r w:rsidR="00852E0B" w:rsidRPr="00B92A23">
        <w:rPr>
          <w:rFonts w:ascii="Cambria" w:eastAsia="Times New Roman" w:hAnsi="Cambria" w:cstheme="minorHAnsi"/>
          <w:color w:val="000000"/>
          <w:lang w:eastAsia="tr-TR"/>
        </w:rPr>
        <w:t>İdari ve Teknik Ş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artnamelerde sayılan belgelerin, teklifleri ile birlikte sunmaları gerekir. </w:t>
      </w:r>
    </w:p>
    <w:p w14:paraId="07E6A7D3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36C1091E" w14:textId="5BCF781E" w:rsidR="00FB7E18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hAnsi="Cambria" w:cstheme="minorHAnsi"/>
          <w:color w:val="000000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6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dokümanı</w:t>
      </w:r>
      <w:r w:rsidR="00FB7E18" w:rsidRPr="00B92A23">
        <w:rPr>
          <w:rFonts w:ascii="Cambria" w:eastAsia="Times New Roman" w:hAnsi="Cambria" w:cstheme="minorHAnsi"/>
          <w:color w:val="000000"/>
          <w:lang w:eastAsia="tr-TR"/>
        </w:rPr>
        <w:t xml:space="preserve">; </w:t>
      </w:r>
      <w:r w:rsidR="00FB7E18" w:rsidRPr="00B92A23">
        <w:rPr>
          <w:rFonts w:ascii="Cambria" w:hAnsi="Cambria" w:cstheme="minorHAnsi"/>
          <w:color w:val="000000"/>
        </w:rPr>
        <w:t xml:space="preserve">Enerya </w:t>
      </w:r>
      <w:r w:rsidR="005A6505">
        <w:rPr>
          <w:rFonts w:ascii="Cambria" w:hAnsi="Cambria" w:cstheme="minorHAnsi"/>
          <w:color w:val="000000"/>
        </w:rPr>
        <w:t>Denizli</w:t>
      </w:r>
      <w:r w:rsidR="00FB7E18" w:rsidRPr="00B92A23">
        <w:rPr>
          <w:rFonts w:ascii="Cambria" w:hAnsi="Cambria" w:cstheme="minorHAnsi"/>
          <w:color w:val="000000"/>
        </w:rPr>
        <w:t xml:space="preserve"> Gaz Dağıtım A.Ş</w:t>
      </w:r>
      <w:proofErr w:type="gramStart"/>
      <w:r w:rsidR="00FB7E18" w:rsidRPr="00B92A23">
        <w:rPr>
          <w:rFonts w:ascii="Cambria" w:hAnsi="Cambria" w:cstheme="minorHAnsi"/>
          <w:color w:val="000000"/>
        </w:rPr>
        <w:t>.</w:t>
      </w:r>
      <w:r w:rsidR="006957CC">
        <w:rPr>
          <w:rFonts w:ascii="Cambria" w:hAnsi="Cambria" w:cstheme="minorHAnsi"/>
          <w:color w:val="000000"/>
        </w:rPr>
        <w:t>,</w:t>
      </w:r>
      <w:proofErr w:type="gramEnd"/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E55953" w:rsidRPr="00B92A23">
        <w:rPr>
          <w:rFonts w:ascii="Cambria" w:hAnsi="Cambria" w:cstheme="minorHAnsi"/>
          <w:color w:val="000000"/>
        </w:rPr>
        <w:t>İçerenköy</w:t>
      </w:r>
      <w:proofErr w:type="spellEnd"/>
      <w:r w:rsidR="006957CC">
        <w:rPr>
          <w:rFonts w:ascii="Cambria" w:hAnsi="Cambria" w:cstheme="minorHAnsi"/>
          <w:color w:val="000000"/>
        </w:rPr>
        <w:t>,</w:t>
      </w:r>
      <w:r w:rsidR="00FB7E18" w:rsidRPr="00B92A23">
        <w:rPr>
          <w:rFonts w:ascii="Cambria" w:hAnsi="Cambria" w:cstheme="minorHAnsi"/>
          <w:color w:val="000000"/>
        </w:rPr>
        <w:t xml:space="preserve"> </w:t>
      </w:r>
      <w:proofErr w:type="spellStart"/>
      <w:r w:rsidR="00FB7E18" w:rsidRPr="00B92A23">
        <w:rPr>
          <w:rFonts w:ascii="Cambria" w:hAnsi="Cambria" w:cstheme="minorHAnsi"/>
          <w:color w:val="000000"/>
        </w:rPr>
        <w:t>Yeşilvadi</w:t>
      </w:r>
      <w:proofErr w:type="spellEnd"/>
      <w:r w:rsidR="00FB7E18" w:rsidRPr="00B92A23">
        <w:rPr>
          <w:rFonts w:ascii="Cambria" w:hAnsi="Cambria" w:cstheme="minorHAnsi"/>
          <w:color w:val="000000"/>
        </w:rPr>
        <w:t xml:space="preserve"> Sokak</w:t>
      </w:r>
      <w:r w:rsidR="006957CC">
        <w:rPr>
          <w:rFonts w:ascii="Cambria" w:hAnsi="Cambria" w:cstheme="minorHAnsi"/>
          <w:color w:val="000000"/>
        </w:rPr>
        <w:t>,</w:t>
      </w:r>
      <w:r w:rsidR="00AA02EA">
        <w:rPr>
          <w:rFonts w:ascii="Cambria" w:hAnsi="Cambria" w:cstheme="minorHAnsi"/>
          <w:color w:val="000000"/>
        </w:rPr>
        <w:t xml:space="preserve"> No:3/4</w:t>
      </w:r>
      <w:r w:rsidR="006957CC">
        <w:rPr>
          <w:rFonts w:ascii="Cambria" w:hAnsi="Cambria" w:cstheme="minorHAnsi"/>
          <w:color w:val="000000"/>
        </w:rPr>
        <w:t xml:space="preserve">, </w:t>
      </w:r>
      <w:proofErr w:type="spellStart"/>
      <w:r w:rsidR="00FB7E18" w:rsidRPr="00B92A23">
        <w:rPr>
          <w:rFonts w:ascii="Cambria" w:hAnsi="Cambria" w:cstheme="minorHAnsi"/>
          <w:color w:val="000000"/>
        </w:rPr>
        <w:t>Ataşehir</w:t>
      </w:r>
      <w:proofErr w:type="spellEnd"/>
      <w:r w:rsidR="006957CC">
        <w:rPr>
          <w:rFonts w:ascii="Cambria" w:hAnsi="Cambria" w:cstheme="minorHAnsi"/>
          <w:color w:val="000000"/>
        </w:rPr>
        <w:t xml:space="preserve">, </w:t>
      </w:r>
      <w:r w:rsidR="00FB7E18" w:rsidRPr="00B92A23">
        <w:rPr>
          <w:rFonts w:ascii="Cambria" w:hAnsi="Cambria" w:cstheme="minorHAnsi"/>
          <w:color w:val="000000"/>
        </w:rPr>
        <w:t>İstanbul adresinde</w:t>
      </w:r>
      <w:r w:rsidR="00E55953" w:rsidRPr="00B92A23">
        <w:rPr>
          <w:rFonts w:ascii="Cambria" w:hAnsi="Cambria" w:cstheme="minorHAnsi"/>
          <w:color w:val="000000"/>
        </w:rPr>
        <w:t>ki Şube merkezinde</w:t>
      </w:r>
      <w:r w:rsidR="00FB7E18" w:rsidRPr="00B92A23">
        <w:rPr>
          <w:rFonts w:ascii="Cambria" w:hAnsi="Cambria" w:cstheme="minorHAnsi"/>
          <w:color w:val="000000"/>
        </w:rPr>
        <w:t xml:space="preserve"> görülüp, teslim alınabileceği gibi </w:t>
      </w:r>
      <w:hyperlink r:id="rId7" w:history="1">
        <w:r w:rsidR="009342C0" w:rsidRPr="000C42E3">
          <w:rPr>
            <w:rStyle w:val="Kpr"/>
            <w:rFonts w:ascii="Cambria" w:hAnsi="Cambria" w:cstheme="minorHAnsi"/>
          </w:rPr>
          <w:t>https://www.enerya.com.tr/</w:t>
        </w:r>
      </w:hyperlink>
      <w:r w:rsidR="00F60C93" w:rsidRPr="00B92A23">
        <w:rPr>
          <w:rFonts w:ascii="Cambria" w:hAnsi="Cambria" w:cstheme="minorHAnsi"/>
          <w:color w:val="000000"/>
        </w:rPr>
        <w:t xml:space="preserve"> web adresinden de tüm İ</w:t>
      </w:r>
      <w:r w:rsidR="00FB7E18" w:rsidRPr="00B92A23">
        <w:rPr>
          <w:rFonts w:ascii="Cambria" w:hAnsi="Cambria" w:cstheme="minorHAnsi"/>
          <w:color w:val="000000"/>
        </w:rPr>
        <w:t>stekliler ta</w:t>
      </w:r>
      <w:r w:rsidR="00F60C93" w:rsidRPr="00B92A23">
        <w:rPr>
          <w:rFonts w:ascii="Cambria" w:hAnsi="Cambria" w:cstheme="minorHAnsi"/>
          <w:color w:val="000000"/>
        </w:rPr>
        <w:t>rafın</w:t>
      </w:r>
      <w:r w:rsidR="00FB7E18" w:rsidRPr="00B92A23">
        <w:rPr>
          <w:rFonts w:ascii="Cambria" w:hAnsi="Cambria" w:cstheme="minorHAnsi"/>
          <w:color w:val="000000"/>
        </w:rPr>
        <w:t xml:space="preserve">dan görülüp, incelenebilir. </w:t>
      </w:r>
    </w:p>
    <w:p w14:paraId="268797F8" w14:textId="416DB9C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7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İhaleyi; 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T.C.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Enerji Piyasası Düzenleme Kurumu (EPDK) tarafından verilmiş ve geçerlilik süresi sona ermemiş olan “Toptan Satış Lisansı” ve “İletim Lisansı” sahibi İstekliler katılabilecektir. </w:t>
      </w:r>
    </w:p>
    <w:p w14:paraId="3ADDD74A" w14:textId="77777777" w:rsidR="0092585F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6B9915AF" w14:textId="77777777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8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İstekliler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in veya kanuni temsilcilerinin ihale gün ve saatinde ihalenin düzenleneceği yerde hazır bulunmaları gerekmektedir. </w:t>
      </w:r>
    </w:p>
    <w:p w14:paraId="6AE1D8AD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54259A8" w14:textId="108E97ED" w:rsidR="00EB4E55" w:rsidRPr="00B92A23" w:rsidRDefault="0092585F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9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="00EB4E55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F60C93" w:rsidRPr="00B92A23">
        <w:rPr>
          <w:rFonts w:ascii="Cambria" w:eastAsia="Times New Roman" w:hAnsi="Cambria" w:cstheme="minorHAnsi"/>
          <w:color w:val="000000"/>
          <w:lang w:eastAsia="tr-TR"/>
        </w:rPr>
        <w:t xml:space="preserve">Teklifler;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ihale tarih ve saatine kadar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İçerenköy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Yeşilvadi</w:t>
      </w:r>
      <w:proofErr w:type="spellEnd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So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kak,</w:t>
      </w:r>
      <w:r w:rsidR="00AA02EA">
        <w:rPr>
          <w:rFonts w:ascii="Cambria" w:eastAsia="Times New Roman" w:hAnsi="Cambria" w:cstheme="minorHAnsi"/>
          <w:color w:val="000000"/>
          <w:lang w:eastAsia="tr-TR"/>
        </w:rPr>
        <w:t xml:space="preserve"> No:3/4</w:t>
      </w:r>
      <w:r w:rsidR="006957CC">
        <w:rPr>
          <w:rFonts w:ascii="Cambria" w:eastAsia="Times New Roman" w:hAnsi="Cambria" w:cstheme="minorHAnsi"/>
          <w:color w:val="000000"/>
          <w:lang w:eastAsia="tr-TR"/>
        </w:rPr>
        <w:t>,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proofErr w:type="spellStart"/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Ataşehir</w:t>
      </w:r>
      <w:proofErr w:type="spellEnd"/>
      <w:r w:rsidR="006957CC">
        <w:rPr>
          <w:rFonts w:ascii="Cambria" w:eastAsia="Times New Roman" w:hAnsi="Cambria" w:cstheme="minorHAnsi"/>
          <w:color w:val="000000"/>
          <w:lang w:eastAsia="tr-TR"/>
        </w:rPr>
        <w:t xml:space="preserve">, 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 xml:space="preserve">İstanbul adresine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elden teslim edilebileceği gibi, aynı adrese iadeli taahhütlü posta vasıtasıyla da gönderilebilir. İhale açık eksi</w:t>
      </w:r>
      <w:r w:rsidR="00923169" w:rsidRPr="00B92A23">
        <w:rPr>
          <w:rFonts w:ascii="Cambria" w:eastAsia="Times New Roman" w:hAnsi="Cambria" w:cstheme="minorHAnsi"/>
          <w:color w:val="000000"/>
          <w:lang w:eastAsia="tr-TR"/>
        </w:rPr>
        <w:t>l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 xml:space="preserve">tme olarak gerçekleşeceği için İsteklilerin ve/veya vekillerinin ihaleye katılımı zorunlu olup katılan bu isteklilerin pey sürmek (fiyat indirmeye) üzere imza sirkülerinin ve vekâletinin teklif dosyası içerinde sunulması zorunludur. </w:t>
      </w:r>
    </w:p>
    <w:p w14:paraId="0D768921" w14:textId="77777777" w:rsidR="008C490A" w:rsidRPr="00B92A23" w:rsidRDefault="008C490A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17777DA6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b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Teklif zarfı üzerinde bulunması gereken ifadeler:</w:t>
      </w:r>
    </w:p>
    <w:p w14:paraId="5E1C07CB" w14:textId="77777777" w:rsidR="00DE0341" w:rsidRPr="00B92A23" w:rsidRDefault="00DE0341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463E350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veren isteklinin Ticaret Unvanı, Açık Adresi ve İletişim Bilgileri</w:t>
      </w:r>
    </w:p>
    <w:p w14:paraId="37147BD5" w14:textId="77777777" w:rsidR="00DE0341" w:rsidRPr="00B92A23" w:rsidRDefault="00DE0341" w:rsidP="00BB0ADA">
      <w:pPr>
        <w:pStyle w:val="ListeParagraf"/>
        <w:numPr>
          <w:ilvl w:val="0"/>
          <w:numId w:val="6"/>
        </w:numPr>
        <w:snapToGrid w:val="0"/>
        <w:ind w:right="-567"/>
        <w:contextualSpacing w:val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B92A23">
        <w:rPr>
          <w:rFonts w:ascii="Cambria" w:hAnsi="Cambria" w:cstheme="minorHAnsi"/>
          <w:color w:val="000000"/>
          <w:sz w:val="22"/>
          <w:szCs w:val="22"/>
        </w:rPr>
        <w:t>Teklif Verilen Şirket Ticari Unvanı, İşin Adı, Teklif Tarihi ve Saati</w:t>
      </w:r>
    </w:p>
    <w:p w14:paraId="27DF7951" w14:textId="77777777" w:rsidR="00DE0341" w:rsidRPr="00B92A23" w:rsidRDefault="00DE0341" w:rsidP="00BB0ADA">
      <w:pPr>
        <w:snapToGrid w:val="0"/>
        <w:spacing w:after="0" w:line="240" w:lineRule="auto"/>
        <w:ind w:left="360" w:right="-567"/>
        <w:jc w:val="both"/>
        <w:rPr>
          <w:rFonts w:ascii="Cambria" w:hAnsi="Cambria" w:cstheme="minorHAnsi"/>
          <w:color w:val="000000"/>
        </w:rPr>
      </w:pPr>
    </w:p>
    <w:p w14:paraId="433DD13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0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DE034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 xml:space="preserve">Bu ihalede kısmi ve şartlı teklif verilmeyecektir. </w:t>
      </w:r>
    </w:p>
    <w:p w14:paraId="35904569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7AC38E7B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lastRenderedPageBreak/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061301" w:rsidRPr="00B92A23">
        <w:rPr>
          <w:rFonts w:ascii="Cambria" w:eastAsia="Times New Roman" w:hAnsi="Cambria" w:cstheme="minorHAnsi"/>
          <w:color w:val="000000"/>
          <w:lang w:eastAsia="tr-TR"/>
        </w:rPr>
        <w:t>Ekonomik açıdan en avantajlı teklif değerlendirmesinde; İsteklilerin bulunduğu birinci oturumda İstekliler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 tarafından sunulan dokümanlar ile evrak kontrolü yapılarak, İhale Komisyonunca değerlendirilmesi yapılacaktır. İhale Komisyonu ikinci oturumda sunulan teklif mektuplarını açarak fiyatları ilan edecek, ilan edilen teklif fiyatları üzerinden; en düşük teklif veren 3 (üç) İstekli açık eksiltmeye davet edilecektir. Davet edilen İstekliler haricinde ihalenin bu aşamasına diğer İstekliler katılamaz. İhale sonuç kararı;  </w:t>
      </w:r>
      <w:hyperlink r:id="rId8" w:history="1">
        <w:r w:rsidR="00E075CE" w:rsidRPr="00B92A23">
          <w:rPr>
            <w:rStyle w:val="Kpr"/>
            <w:rFonts w:ascii="Cambria" w:hAnsi="Cambria" w:cstheme="minorHAnsi"/>
          </w:rPr>
          <w:t>https://www.enerya.com.tr</w:t>
        </w:r>
      </w:hyperlink>
      <w:r w:rsidR="00E075CE" w:rsidRPr="00B92A23">
        <w:rPr>
          <w:rFonts w:ascii="Cambria" w:hAnsi="Cambria" w:cstheme="minorHAnsi"/>
          <w:color w:val="000000"/>
        </w:rPr>
        <w:t xml:space="preserve"> web adresinde ilan edilerek, ihaleye katılan tüm İsteklilere eş zamanlı o</w:t>
      </w:r>
      <w:r w:rsidR="00E55953" w:rsidRPr="00B92A23">
        <w:rPr>
          <w:rFonts w:ascii="Cambria" w:hAnsi="Cambria" w:cstheme="minorHAnsi"/>
          <w:color w:val="000000"/>
        </w:rPr>
        <w:t>l</w:t>
      </w:r>
      <w:r w:rsidR="00E075CE" w:rsidRPr="00B92A23">
        <w:rPr>
          <w:rFonts w:ascii="Cambria" w:hAnsi="Cambria" w:cstheme="minorHAnsi"/>
          <w:color w:val="000000"/>
        </w:rPr>
        <w:t>arak bildirilecektir.</w:t>
      </w:r>
    </w:p>
    <w:p w14:paraId="3B3DED82" w14:textId="77777777" w:rsidR="00EB4E55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1CD728F" w14:textId="3245B90C" w:rsidR="007411AD" w:rsidRPr="00B92A23" w:rsidRDefault="00EB4E55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</w:t>
      </w:r>
      <w:r w:rsidR="0092585F" w:rsidRPr="00B92A23">
        <w:rPr>
          <w:rFonts w:ascii="Cambria" w:eastAsia="Times New Roman" w:hAnsi="Cambria" w:cstheme="minorHAnsi"/>
          <w:color w:val="000000"/>
          <w:lang w:eastAsia="tr-TR"/>
        </w:rPr>
        <w:t>2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–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 xml:space="preserve"> 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>Verilen tekliflerin geçerlilik süresi, ihale tarihinden itibaren en a</w:t>
      </w:r>
      <w:r w:rsidR="00765079">
        <w:rPr>
          <w:rFonts w:ascii="Cambria" w:eastAsia="Times New Roman" w:hAnsi="Cambria" w:cstheme="minorHAnsi"/>
          <w:color w:val="000000"/>
          <w:lang w:eastAsia="tr-TR"/>
        </w:rPr>
        <w:t>z 30 (otuz</w:t>
      </w:r>
      <w:r w:rsidR="00E075CE" w:rsidRPr="00B92A23">
        <w:rPr>
          <w:rFonts w:ascii="Cambria" w:eastAsia="Times New Roman" w:hAnsi="Cambria" w:cstheme="minorHAnsi"/>
          <w:color w:val="000000"/>
          <w:lang w:eastAsia="tr-TR"/>
        </w:rPr>
        <w:t xml:space="preserve">) takvim günü olmalıdır. </w:t>
      </w:r>
    </w:p>
    <w:p w14:paraId="51B0CC16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69256AA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13 – Konsorsiyumlar ihaleye teklif veremezler.</w:t>
      </w:r>
    </w:p>
    <w:p w14:paraId="37137619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00A67BB8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14 – Bu ihale (ceza ve yasaklamalarla ilgili hu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u</w:t>
      </w:r>
      <w:r w:rsidR="00E55953" w:rsidRPr="00B92A23">
        <w:rPr>
          <w:rFonts w:ascii="Cambria" w:eastAsia="Times New Roman" w:hAnsi="Cambria" w:cstheme="minorHAnsi"/>
          <w:color w:val="000000"/>
          <w:lang w:eastAsia="tr-TR"/>
        </w:rPr>
        <w:t>s</w:t>
      </w:r>
      <w:r w:rsidRPr="00B92A23">
        <w:rPr>
          <w:rFonts w:ascii="Cambria" w:eastAsia="Times New Roman" w:hAnsi="Cambria" w:cstheme="minorHAnsi"/>
          <w:color w:val="000000"/>
          <w:lang w:eastAsia="tr-TR"/>
        </w:rPr>
        <w:t>lar hariç) 4734 ve 4735 sayılı Kamu İhale kanunlarına tabi değildir.</w:t>
      </w:r>
    </w:p>
    <w:p w14:paraId="0DE50522" w14:textId="77777777" w:rsidR="00E075CE" w:rsidRPr="00B92A23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2602A12D" w14:textId="752A1BF7" w:rsidR="00E075CE" w:rsidRDefault="00E075CE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  <w:r w:rsidRPr="00B92A23">
        <w:rPr>
          <w:rFonts w:ascii="Cambria" w:eastAsia="Times New Roman" w:hAnsi="Cambria" w:cstheme="minorHAnsi"/>
          <w:color w:val="000000"/>
          <w:lang w:eastAsia="tr-TR"/>
        </w:rPr>
        <w:t>15 – Tüketim Miktarları</w:t>
      </w:r>
    </w:p>
    <w:p w14:paraId="6B7FC13F" w14:textId="77777777" w:rsidR="00AE60F4" w:rsidRDefault="00AE60F4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tbl>
      <w:tblPr>
        <w:tblW w:w="9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1445"/>
        <w:gridCol w:w="1210"/>
        <w:gridCol w:w="1107"/>
        <w:gridCol w:w="1210"/>
        <w:gridCol w:w="1210"/>
        <w:gridCol w:w="1211"/>
        <w:gridCol w:w="1210"/>
      </w:tblGrid>
      <w:tr w:rsidR="00DE156B" w:rsidRPr="00DE156B" w14:paraId="2AC114E3" w14:textId="77777777" w:rsidTr="00DE156B">
        <w:trPr>
          <w:trHeight w:val="263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0FD1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YIL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BE63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AY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A05F" w14:textId="77777777" w:rsidR="00DE156B" w:rsidRPr="00DE156B" w:rsidRDefault="00DE156B" w:rsidP="00DE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TESLİM NOKTASI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6567F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DE156B" w:rsidRPr="00DE156B" w14:paraId="03932B64" w14:textId="77777777" w:rsidTr="00DE156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1EA2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0257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CD79" w14:textId="77777777" w:rsidR="00DE156B" w:rsidRPr="00DE156B" w:rsidRDefault="00DE156B" w:rsidP="00DE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BULDAN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7D30" w14:textId="77777777" w:rsidR="00DE156B" w:rsidRPr="00DE156B" w:rsidRDefault="00DE156B" w:rsidP="00DE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ÇAL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794D" w14:textId="77777777" w:rsidR="00DE156B" w:rsidRPr="00DE156B" w:rsidRDefault="00DE156B" w:rsidP="00DE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ÇAMELİ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30CC" w14:textId="77777777" w:rsidR="00DE156B" w:rsidRPr="00DE156B" w:rsidRDefault="00DE156B" w:rsidP="00DE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BOZKURT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FA4C" w14:textId="77777777" w:rsidR="00DE156B" w:rsidRPr="00DE156B" w:rsidRDefault="00DE156B" w:rsidP="00DE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KALE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F693" w14:textId="77777777" w:rsidR="00DE156B" w:rsidRPr="00DE156B" w:rsidRDefault="00DE156B" w:rsidP="00DE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BAKLAN</w:t>
            </w:r>
          </w:p>
        </w:tc>
      </w:tr>
      <w:tr w:rsidR="00DE156B" w:rsidRPr="00DE156B" w14:paraId="1767C733" w14:textId="77777777" w:rsidTr="00DE156B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4178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5D88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E215" w14:textId="77777777" w:rsidR="00DE156B" w:rsidRPr="00DE156B" w:rsidRDefault="00DE156B" w:rsidP="00DE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MİKTAR Sm3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DF188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DE156B" w:rsidRPr="00DE156B" w14:paraId="30AE93B5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1AC60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E7EDE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F9FF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13.608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730B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4.050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4AC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16.884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AA8F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34.650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151A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25.200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68A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240</w:t>
            </w:r>
          </w:p>
        </w:tc>
      </w:tr>
      <w:tr w:rsidR="00DE156B" w:rsidRPr="00DE156B" w14:paraId="50290477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55EF2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83BBD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829F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18.000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FA1D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6.552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D0AD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42.444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41C8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53.136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73B0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39.690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2592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600</w:t>
            </w:r>
          </w:p>
        </w:tc>
      </w:tr>
      <w:tr w:rsidR="00DE156B" w:rsidRPr="00DE156B" w14:paraId="370E8ABF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D2C6F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BE8B0C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1458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19.008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244D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12.384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5786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56.700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5B7A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61.776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2475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48.276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94F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1.500</w:t>
            </w:r>
          </w:p>
        </w:tc>
      </w:tr>
      <w:tr w:rsidR="00DE156B" w:rsidRPr="00DE156B" w14:paraId="30689072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D9D40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66E41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6A76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24.138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0935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17.334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1603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63.360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02D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73.224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9515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57.600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0C17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1.500</w:t>
            </w:r>
          </w:p>
        </w:tc>
      </w:tr>
      <w:tr w:rsidR="00DE156B" w:rsidRPr="00DE156B" w14:paraId="1CD1A120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A20D5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A66CC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444C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24.624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0D8C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18.792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8A1A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57.600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E3E8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77.328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AAB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46.800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CE5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1.650</w:t>
            </w:r>
          </w:p>
        </w:tc>
      </w:tr>
      <w:tr w:rsidR="00DE156B" w:rsidRPr="00DE156B" w14:paraId="3EED16AE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F0C36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44751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9DC7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25.758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D3B4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18.000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7655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58.680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81D4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79.056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91E3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51.264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6C36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2.700</w:t>
            </w:r>
          </w:p>
        </w:tc>
      </w:tr>
      <w:tr w:rsidR="00DE156B" w:rsidRPr="00DE156B" w14:paraId="338E3894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BDA7E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9DFFA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493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14.850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BE0A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13.140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82C3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42.084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59D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73.206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6A33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32.850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E41F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2.400</w:t>
            </w:r>
          </w:p>
        </w:tc>
      </w:tr>
      <w:tr w:rsidR="00DE156B" w:rsidRPr="00DE156B" w14:paraId="70B65861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D4BE5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590FE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4368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13.608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AC2C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11.016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E117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24.120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DF50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44.064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BD20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26.928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7641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2.100</w:t>
            </w:r>
          </w:p>
        </w:tc>
      </w:tr>
      <w:tr w:rsidR="00DE156B" w:rsidRPr="00DE156B" w14:paraId="40EBFFB5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966FE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0EB86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57EF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4704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2.970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1A1A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6.120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3361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11.322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0B93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6.876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B921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900</w:t>
            </w:r>
          </w:p>
        </w:tc>
      </w:tr>
      <w:tr w:rsidR="00DE156B" w:rsidRPr="00DE156B" w14:paraId="7B7B34FE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D8FA2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BFB43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TEMMUZ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2922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4.014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D77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3.204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C3F4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6.300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56E9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11.700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F85F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7.128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122D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600</w:t>
            </w:r>
          </w:p>
        </w:tc>
      </w:tr>
      <w:tr w:rsidR="00DE156B" w:rsidRPr="00DE156B" w14:paraId="0C865155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CDCCC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66EF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AĞUSTOS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BD15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BBCD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7.020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73FA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12.672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02C2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24.228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8427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14.472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7E12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270</w:t>
            </w:r>
          </w:p>
        </w:tc>
      </w:tr>
      <w:tr w:rsidR="00DE156B" w:rsidRPr="00DE156B" w14:paraId="0283F776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E6B9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20D91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3CA8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8.820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CFBA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7.020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CC1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12.672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618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24.228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6970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14.472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DA43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270</w:t>
            </w:r>
          </w:p>
        </w:tc>
      </w:tr>
      <w:tr w:rsidR="00DE156B" w:rsidRPr="00DE156B" w14:paraId="561F6DA3" w14:textId="77777777" w:rsidTr="00DE156B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14:paraId="1BB92969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14:paraId="297655D3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3BC73E5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178.758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65B07742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121.482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3DDC1A62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399.636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3FED01A9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567.918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026584FE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371.556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  <w:hideMark/>
          </w:tcPr>
          <w:p w14:paraId="0BABBA86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14.730</w:t>
            </w:r>
          </w:p>
        </w:tc>
      </w:tr>
      <w:tr w:rsidR="00DE156B" w:rsidRPr="00DE156B" w14:paraId="521EDC2D" w14:textId="77777777" w:rsidTr="00DE156B">
        <w:trPr>
          <w:trHeight w:val="276"/>
        </w:trPr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EBDF793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8CF8624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C59CE59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7" w:type="dxa"/>
            <w:vAlign w:val="center"/>
            <w:hideMark/>
          </w:tcPr>
          <w:p w14:paraId="5C4DF9CE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36754CFF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4D17A176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14:paraId="1E9A0901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16583CBD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56B" w:rsidRPr="00DE156B" w14:paraId="2085BD59" w14:textId="77777777" w:rsidTr="00DE156B">
        <w:trPr>
          <w:trHeight w:val="276"/>
        </w:trPr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4F18910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GENEL TOPLAM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3CEB4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1.654.080</w:t>
            </w:r>
          </w:p>
        </w:tc>
        <w:tc>
          <w:tcPr>
            <w:tcW w:w="1107" w:type="dxa"/>
            <w:vAlign w:val="center"/>
            <w:hideMark/>
          </w:tcPr>
          <w:p w14:paraId="15BDA975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10" w:type="dxa"/>
            <w:noWrap/>
            <w:vAlign w:val="bottom"/>
            <w:hideMark/>
          </w:tcPr>
          <w:p w14:paraId="281AADB8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228738DF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14:paraId="389D925D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1004BAFA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56B" w:rsidRPr="00DE156B" w14:paraId="17C7FE56" w14:textId="77777777" w:rsidTr="00DE156B">
        <w:trPr>
          <w:trHeight w:val="276"/>
        </w:trPr>
        <w:tc>
          <w:tcPr>
            <w:tcW w:w="627" w:type="dxa"/>
            <w:noWrap/>
            <w:vAlign w:val="bottom"/>
            <w:hideMark/>
          </w:tcPr>
          <w:p w14:paraId="45BDBF78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5" w:type="dxa"/>
            <w:noWrap/>
            <w:vAlign w:val="bottom"/>
            <w:hideMark/>
          </w:tcPr>
          <w:p w14:paraId="1B674B04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vAlign w:val="center"/>
            <w:hideMark/>
          </w:tcPr>
          <w:p w14:paraId="64B5ABEC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7" w:type="dxa"/>
            <w:vAlign w:val="center"/>
            <w:hideMark/>
          </w:tcPr>
          <w:p w14:paraId="289163EA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6CB2C00D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207EADD5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14:paraId="36DF88A4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3889C143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156B" w:rsidRPr="00DE156B" w14:paraId="496C78F2" w14:textId="77777777" w:rsidTr="00DE156B">
        <w:trPr>
          <w:trHeight w:val="276"/>
        </w:trPr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EBF7"/>
            <w:noWrap/>
            <w:vAlign w:val="center"/>
            <w:hideMark/>
          </w:tcPr>
          <w:p w14:paraId="6E74D84B" w14:textId="77777777" w:rsidR="00DE156B" w:rsidRPr="00DE156B" w:rsidRDefault="00DE156B" w:rsidP="00DE156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SÖZLEŞME TOPLAMI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vAlign w:val="center"/>
            <w:hideMark/>
          </w:tcPr>
          <w:p w14:paraId="139AB826" w14:textId="77777777" w:rsidR="00DE156B" w:rsidRPr="00DE156B" w:rsidRDefault="00DE156B" w:rsidP="00DE1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15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1.654.080</w:t>
            </w:r>
          </w:p>
        </w:tc>
        <w:tc>
          <w:tcPr>
            <w:tcW w:w="1107" w:type="dxa"/>
            <w:vAlign w:val="center"/>
            <w:hideMark/>
          </w:tcPr>
          <w:p w14:paraId="319749DF" w14:textId="77777777" w:rsidR="00DE156B" w:rsidRPr="00DE156B" w:rsidRDefault="00DE156B" w:rsidP="00DE15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13F9AF1B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6CBF5009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1" w:type="dxa"/>
            <w:noWrap/>
            <w:vAlign w:val="bottom"/>
            <w:hideMark/>
          </w:tcPr>
          <w:p w14:paraId="026E5013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14:paraId="5D02A478" w14:textId="77777777" w:rsidR="00DE156B" w:rsidRPr="00DE156B" w:rsidRDefault="00DE156B" w:rsidP="00DE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4A5BDB0" w14:textId="656ABAC3" w:rsidR="007270B6" w:rsidRDefault="007270B6" w:rsidP="00BB0ADA">
      <w:pPr>
        <w:snapToGrid w:val="0"/>
        <w:spacing w:after="0" w:line="240" w:lineRule="auto"/>
        <w:ind w:right="-567"/>
        <w:jc w:val="both"/>
        <w:rPr>
          <w:rFonts w:ascii="Cambria" w:eastAsia="Times New Roman" w:hAnsi="Cambria" w:cstheme="minorHAnsi"/>
          <w:color w:val="000000"/>
          <w:lang w:eastAsia="tr-TR"/>
        </w:rPr>
      </w:pPr>
    </w:p>
    <w:p w14:paraId="5190196C" w14:textId="77777777" w:rsidR="009342C0" w:rsidRDefault="009342C0" w:rsidP="009342C0">
      <w:pPr>
        <w:snapToGrid w:val="0"/>
        <w:jc w:val="both"/>
        <w:rPr>
          <w:rFonts w:ascii="Cambria" w:hAnsi="Cambria"/>
        </w:rPr>
      </w:pPr>
    </w:p>
    <w:p w14:paraId="5B123969" w14:textId="77777777" w:rsidR="009342C0" w:rsidRPr="00BB0ADA" w:rsidRDefault="009342C0" w:rsidP="009342C0">
      <w:pPr>
        <w:snapToGrid w:val="0"/>
        <w:jc w:val="both"/>
        <w:rPr>
          <w:rFonts w:ascii="Cambria" w:hAnsi="Cambria"/>
        </w:rPr>
      </w:pPr>
    </w:p>
    <w:p w14:paraId="65314836" w14:textId="66FC3AFA" w:rsidR="009342C0" w:rsidRDefault="009342C0" w:rsidP="009342C0">
      <w:pPr>
        <w:snapToGrid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CNG Toplam Alım Miktarı </w:t>
      </w:r>
      <w:r w:rsidR="00156AAD">
        <w:rPr>
          <w:rFonts w:ascii="Calibri" w:eastAsia="Times New Roman" w:hAnsi="Calibri" w:cs="Calibri"/>
          <w:b/>
          <w:bCs/>
          <w:color w:val="000000"/>
          <w:lang w:eastAsia="tr-TR"/>
        </w:rPr>
        <w:t>1.</w:t>
      </w:r>
      <w:r w:rsidR="00DE156B">
        <w:rPr>
          <w:rFonts w:ascii="Calibri" w:eastAsia="Times New Roman" w:hAnsi="Calibri" w:cs="Calibri"/>
          <w:b/>
          <w:bCs/>
          <w:color w:val="000000"/>
          <w:lang w:eastAsia="tr-TR"/>
        </w:rPr>
        <w:t>654.080</w:t>
      </w:r>
      <w:r w:rsidR="00AE60F4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r w:rsidRPr="00BB0ADA">
        <w:rPr>
          <w:rFonts w:ascii="Cambria" w:hAnsi="Cambria"/>
          <w:b/>
        </w:rPr>
        <w:t>Sm</w:t>
      </w:r>
      <w:r w:rsidRPr="00BB0ADA">
        <w:rPr>
          <w:rFonts w:ascii="Cambria" w:hAnsi="Cambria"/>
          <w:b/>
          <w:vertAlign w:val="superscript"/>
        </w:rPr>
        <w:t>3</w:t>
      </w:r>
      <w:r w:rsidRPr="00BB0ADA">
        <w:rPr>
          <w:rFonts w:ascii="Cambria" w:hAnsi="Cambria"/>
        </w:rPr>
        <w:t xml:space="preserve"> olacaktır.</w:t>
      </w:r>
    </w:p>
    <w:p w14:paraId="2EAC1C01" w14:textId="77777777" w:rsidR="009342C0" w:rsidRPr="00486384" w:rsidRDefault="009342C0" w:rsidP="009342C0">
      <w:pPr>
        <w:spacing w:before="120" w:after="120"/>
        <w:jc w:val="both"/>
        <w:rPr>
          <w:rFonts w:ascii="Cambria" w:hAnsi="Cambria"/>
        </w:rPr>
      </w:pPr>
    </w:p>
    <w:p w14:paraId="00485188" w14:textId="77777777" w:rsidR="00794176" w:rsidRPr="00BB0ADA" w:rsidRDefault="00794176" w:rsidP="009342C0">
      <w:pPr>
        <w:snapToGrid w:val="0"/>
        <w:spacing w:after="0" w:line="240" w:lineRule="auto"/>
        <w:ind w:right="-567"/>
        <w:jc w:val="both"/>
        <w:rPr>
          <w:rFonts w:ascii="Cambria" w:hAnsi="Cambria"/>
        </w:rPr>
      </w:pPr>
    </w:p>
    <w:sectPr w:rsidR="00794176" w:rsidRPr="00BB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3D0"/>
    <w:multiLevelType w:val="hybridMultilevel"/>
    <w:tmpl w:val="7604FA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105"/>
    <w:multiLevelType w:val="hybridMultilevel"/>
    <w:tmpl w:val="B0FC2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3F9"/>
    <w:multiLevelType w:val="hybridMultilevel"/>
    <w:tmpl w:val="16B2F73C"/>
    <w:lvl w:ilvl="0" w:tplc="E0EEC4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5282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973F1"/>
    <w:multiLevelType w:val="hybridMultilevel"/>
    <w:tmpl w:val="B16C24EC"/>
    <w:lvl w:ilvl="0" w:tplc="C4EAF0E4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B17"/>
    <w:multiLevelType w:val="hybridMultilevel"/>
    <w:tmpl w:val="6A62A2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0AC"/>
    <w:multiLevelType w:val="hybridMultilevel"/>
    <w:tmpl w:val="53AA3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55"/>
    <w:rsid w:val="00011469"/>
    <w:rsid w:val="00061301"/>
    <w:rsid w:val="000679F5"/>
    <w:rsid w:val="00071923"/>
    <w:rsid w:val="000C5744"/>
    <w:rsid w:val="000E2159"/>
    <w:rsid w:val="000E5BB0"/>
    <w:rsid w:val="00101D32"/>
    <w:rsid w:val="00147AC6"/>
    <w:rsid w:val="00156AAD"/>
    <w:rsid w:val="001D6A23"/>
    <w:rsid w:val="001F552F"/>
    <w:rsid w:val="00205FF1"/>
    <w:rsid w:val="0021342A"/>
    <w:rsid w:val="00295189"/>
    <w:rsid w:val="002B7FA2"/>
    <w:rsid w:val="00313E3F"/>
    <w:rsid w:val="0034586E"/>
    <w:rsid w:val="003C0CAB"/>
    <w:rsid w:val="003C1029"/>
    <w:rsid w:val="003F7065"/>
    <w:rsid w:val="00467B39"/>
    <w:rsid w:val="004733EB"/>
    <w:rsid w:val="004A7CAD"/>
    <w:rsid w:val="004F5DEF"/>
    <w:rsid w:val="005849BD"/>
    <w:rsid w:val="005A6505"/>
    <w:rsid w:val="005C5981"/>
    <w:rsid w:val="005C7DC5"/>
    <w:rsid w:val="00610784"/>
    <w:rsid w:val="0063683C"/>
    <w:rsid w:val="00645022"/>
    <w:rsid w:val="00663DB3"/>
    <w:rsid w:val="006957CC"/>
    <w:rsid w:val="006A4F6F"/>
    <w:rsid w:val="0072009C"/>
    <w:rsid w:val="00724689"/>
    <w:rsid w:val="007270B6"/>
    <w:rsid w:val="007411AD"/>
    <w:rsid w:val="007535CD"/>
    <w:rsid w:val="00765079"/>
    <w:rsid w:val="00794176"/>
    <w:rsid w:val="0079670E"/>
    <w:rsid w:val="007B4323"/>
    <w:rsid w:val="007B7E15"/>
    <w:rsid w:val="007E0D4B"/>
    <w:rsid w:val="00852E0B"/>
    <w:rsid w:val="00866CA5"/>
    <w:rsid w:val="008C490A"/>
    <w:rsid w:val="008F1581"/>
    <w:rsid w:val="00923169"/>
    <w:rsid w:val="0092585F"/>
    <w:rsid w:val="009342C0"/>
    <w:rsid w:val="0093672B"/>
    <w:rsid w:val="00950B84"/>
    <w:rsid w:val="00951C67"/>
    <w:rsid w:val="009E436D"/>
    <w:rsid w:val="009E770D"/>
    <w:rsid w:val="00A40A56"/>
    <w:rsid w:val="00A72429"/>
    <w:rsid w:val="00A9199F"/>
    <w:rsid w:val="00AA02EA"/>
    <w:rsid w:val="00AC1148"/>
    <w:rsid w:val="00AC7C71"/>
    <w:rsid w:val="00AE60F4"/>
    <w:rsid w:val="00B04E68"/>
    <w:rsid w:val="00B23F59"/>
    <w:rsid w:val="00B43AF3"/>
    <w:rsid w:val="00B559AE"/>
    <w:rsid w:val="00B80A4A"/>
    <w:rsid w:val="00B92A23"/>
    <w:rsid w:val="00BB0ADA"/>
    <w:rsid w:val="00BD342A"/>
    <w:rsid w:val="00BD4913"/>
    <w:rsid w:val="00C04249"/>
    <w:rsid w:val="00C10C35"/>
    <w:rsid w:val="00C708F9"/>
    <w:rsid w:val="00C7319A"/>
    <w:rsid w:val="00CA5E3C"/>
    <w:rsid w:val="00CC6DCB"/>
    <w:rsid w:val="00CD3D53"/>
    <w:rsid w:val="00CE60C4"/>
    <w:rsid w:val="00CF66B5"/>
    <w:rsid w:val="00D62A59"/>
    <w:rsid w:val="00DE0341"/>
    <w:rsid w:val="00DE156B"/>
    <w:rsid w:val="00E075CE"/>
    <w:rsid w:val="00E55953"/>
    <w:rsid w:val="00E905AA"/>
    <w:rsid w:val="00EB4E55"/>
    <w:rsid w:val="00EE0C1D"/>
    <w:rsid w:val="00F60C93"/>
    <w:rsid w:val="00FB2371"/>
    <w:rsid w:val="00FB7E18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CEB"/>
  <w15:chartTrackingRefBased/>
  <w15:docId w15:val="{F8A531DC-462F-41B3-AD12-9B6C718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EB4E55"/>
  </w:style>
  <w:style w:type="character" w:customStyle="1" w:styleId="spelle">
    <w:name w:val="spelle"/>
    <w:basedOn w:val="VarsaylanParagrafYazTipi"/>
    <w:rsid w:val="00EB4E55"/>
  </w:style>
  <w:style w:type="paragraph" w:styleId="AralkYok">
    <w:name w:val="No Spacing"/>
    <w:uiPriority w:val="1"/>
    <w:qFormat/>
    <w:rsid w:val="00EB4E55"/>
    <w:pPr>
      <w:spacing w:after="0" w:line="240" w:lineRule="auto"/>
    </w:pPr>
    <w:rPr>
      <w:rFonts w:ascii="Tahoma" w:eastAsia="Times New Roman" w:hAnsi="Tahoma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43AF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E0D4B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7E0D4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B7E18"/>
    <w:rPr>
      <w:color w:val="954F72" w:themeColor="followedHyperlink"/>
      <w:u w:val="single"/>
    </w:rPr>
  </w:style>
  <w:style w:type="table" w:styleId="KlavuzTablo1Ak">
    <w:name w:val="Grid Table 1 Light"/>
    <w:basedOn w:val="NormalTablo"/>
    <w:uiPriority w:val="46"/>
    <w:rsid w:val="00E075CE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C6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1D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1D3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1D3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1D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1D32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unhideWhenUsed/>
    <w:rsid w:val="009E770D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E770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ya.com.t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rya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rya.denizli@hs02.kep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D01D6-7683-4A88-9699-C634C98B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Özer</dc:creator>
  <cp:keywords/>
  <dc:description/>
  <cp:lastModifiedBy>Erol Kaya</cp:lastModifiedBy>
  <cp:revision>21</cp:revision>
  <cp:lastPrinted>2019-12-10T11:21:00Z</cp:lastPrinted>
  <dcterms:created xsi:type="dcterms:W3CDTF">2022-05-17T10:52:00Z</dcterms:created>
  <dcterms:modified xsi:type="dcterms:W3CDTF">2022-09-07T12:48:00Z</dcterms:modified>
</cp:coreProperties>
</file>